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D398F">
      <w:pPr>
        <w:spacing w:line="600" w:lineRule="exact"/>
        <w:jc w:val="center"/>
        <w:outlineLvl w:val="0"/>
        <w:rPr>
          <w:rFonts w:hint="eastAsia" w:ascii="方正小标宋简体" w:eastAsia="方正小标宋简体" w:cs="Times New Roman"/>
          <w:kern w:val="2"/>
          <w:sz w:val="72"/>
          <w:szCs w:val="72"/>
        </w:rPr>
      </w:pPr>
      <w:bookmarkStart w:id="0" w:name="_Toc15377193"/>
      <w:bookmarkEnd w:id="0"/>
      <w:bookmarkStart w:id="1" w:name="_Toc15306267"/>
      <w:bookmarkEnd w:id="1"/>
      <w:bookmarkStart w:id="2" w:name="_Toc15377425"/>
      <w:bookmarkEnd w:id="2"/>
      <w:bookmarkStart w:id="3" w:name="_Toc15378441"/>
      <w:bookmarkEnd w:id="3"/>
      <w:bookmarkStart w:id="4" w:name="_Toc15396475"/>
      <w:bookmarkEnd w:id="4"/>
      <w:bookmarkStart w:id="5" w:name="_Toc15396597"/>
      <w:bookmarkEnd w:id="5"/>
      <w:bookmarkStart w:id="91" w:name="_GoBack"/>
      <w:bookmarkEnd w:id="91"/>
    </w:p>
    <w:p w14:paraId="0ACEFCC8">
      <w:pPr>
        <w:spacing w:line="600" w:lineRule="exact"/>
        <w:jc w:val="center"/>
        <w:outlineLvl w:val="0"/>
        <w:rPr>
          <w:rFonts w:hint="eastAsia" w:ascii="方正小标宋简体" w:eastAsia="方正小标宋简体" w:cs="Times New Roman"/>
          <w:kern w:val="2"/>
          <w:sz w:val="72"/>
          <w:szCs w:val="72"/>
        </w:rPr>
      </w:pPr>
    </w:p>
    <w:p w14:paraId="2D65DFB6">
      <w:pPr>
        <w:spacing w:line="600" w:lineRule="exact"/>
        <w:jc w:val="center"/>
        <w:outlineLvl w:val="0"/>
        <w:rPr>
          <w:rFonts w:hint="eastAsia" w:ascii="方正小标宋简体" w:eastAsia="方正小标宋简体" w:cs="Times New Roman"/>
          <w:kern w:val="2"/>
          <w:sz w:val="72"/>
          <w:szCs w:val="72"/>
        </w:rPr>
      </w:pPr>
    </w:p>
    <w:p w14:paraId="2D7966EA">
      <w:pPr>
        <w:spacing w:line="600" w:lineRule="exact"/>
        <w:jc w:val="center"/>
        <w:outlineLvl w:val="0"/>
        <w:rPr>
          <w:rFonts w:hint="eastAsia" w:ascii="方正小标宋简体" w:eastAsia="方正小标宋简体" w:cs="Times New Roman"/>
          <w:kern w:val="2"/>
          <w:sz w:val="72"/>
          <w:szCs w:val="72"/>
        </w:rPr>
      </w:pPr>
    </w:p>
    <w:p w14:paraId="5A6E0CE9">
      <w:pPr>
        <w:spacing w:line="360" w:lineRule="auto"/>
        <w:jc w:val="center"/>
        <w:outlineLvl w:val="0"/>
        <w:rPr>
          <w:rFonts w:hint="eastAsia" w:ascii="方正小标宋简体" w:eastAsia="方正小标宋简体" w:cs="方正小标宋简体"/>
          <w:kern w:val="2"/>
          <w:sz w:val="72"/>
          <w:szCs w:val="72"/>
        </w:rPr>
      </w:pPr>
      <w:r>
        <w:rPr>
          <w:rFonts w:hint="eastAsia" w:ascii="方正小标宋简体" w:eastAsia="方正小标宋简体" w:cs="方正小标宋简体"/>
          <w:kern w:val="2"/>
          <w:sz w:val="72"/>
          <w:szCs w:val="72"/>
        </w:rPr>
        <w:t>2023年度</w:t>
      </w:r>
    </w:p>
    <w:p w14:paraId="171E1C0C">
      <w:pPr>
        <w:spacing w:line="360" w:lineRule="auto"/>
        <w:jc w:val="center"/>
        <w:outlineLvl w:val="0"/>
        <w:rPr>
          <w:rFonts w:hint="eastAsia" w:ascii="方正小标宋简体" w:eastAsia="方正小标宋简体" w:cs="方正小标宋简体"/>
          <w:kern w:val="2"/>
          <w:sz w:val="72"/>
          <w:szCs w:val="72"/>
        </w:rPr>
      </w:pPr>
      <w:bookmarkStart w:id="6" w:name="_Toc15396476"/>
      <w:bookmarkEnd w:id="6"/>
      <w:bookmarkStart w:id="7" w:name="_Toc15378442"/>
      <w:bookmarkEnd w:id="7"/>
      <w:bookmarkStart w:id="8" w:name="_Toc15377194"/>
      <w:bookmarkEnd w:id="8"/>
      <w:bookmarkStart w:id="9" w:name="_Toc15377426"/>
      <w:bookmarkEnd w:id="9"/>
      <w:bookmarkStart w:id="10" w:name="_Toc15396598"/>
      <w:bookmarkEnd w:id="10"/>
      <w:r>
        <w:rPr>
          <w:rFonts w:hint="eastAsia" w:ascii="方正小标宋简体" w:eastAsia="方正小标宋简体" w:cs="方正小标宋简体"/>
          <w:kern w:val="2"/>
          <w:sz w:val="72"/>
          <w:szCs w:val="72"/>
        </w:rPr>
        <w:t>广元市</w:t>
      </w:r>
      <w:bookmarkStart w:id="11" w:name="_Toc15306268"/>
      <w:bookmarkEnd w:id="11"/>
      <w:r>
        <w:rPr>
          <w:rFonts w:hint="eastAsia" w:ascii="方正小标宋简体" w:eastAsia="方正小标宋简体" w:cs="方正小标宋简体"/>
          <w:kern w:val="2"/>
          <w:sz w:val="72"/>
          <w:szCs w:val="72"/>
        </w:rPr>
        <w:t>白龙湖管理局</w:t>
      </w:r>
    </w:p>
    <w:p w14:paraId="69DC8C6B">
      <w:pPr>
        <w:spacing w:line="360" w:lineRule="auto"/>
        <w:jc w:val="center"/>
        <w:outlineLvl w:val="0"/>
        <w:rPr>
          <w:rFonts w:hint="eastAsia" w:ascii="方正小标宋简体" w:eastAsia="方正小标宋简体" w:cs="方正小标宋简体"/>
          <w:kern w:val="2"/>
          <w:sz w:val="72"/>
          <w:szCs w:val="72"/>
        </w:rPr>
      </w:pPr>
      <w:r>
        <w:rPr>
          <w:rFonts w:hint="eastAsia" w:ascii="方正小标宋简体" w:eastAsia="方正小标宋简体" w:cs="方正小标宋简体"/>
          <w:kern w:val="2"/>
          <w:sz w:val="72"/>
          <w:szCs w:val="72"/>
        </w:rPr>
        <w:t>决算公开</w:t>
      </w:r>
    </w:p>
    <w:p w14:paraId="217B6FB9">
      <w:pPr>
        <w:widowControl/>
        <w:jc w:val="center"/>
        <w:rPr>
          <w:rFonts w:hint="eastAsia" w:ascii="黑体" w:eastAsia="黑体" w:cs="Times New Roman"/>
          <w:kern w:val="2"/>
          <w:sz w:val="48"/>
          <w:szCs w:val="48"/>
        </w:rPr>
      </w:pPr>
    </w:p>
    <w:p w14:paraId="106254EE">
      <w:pPr>
        <w:widowControl/>
        <w:jc w:val="center"/>
        <w:rPr>
          <w:rFonts w:hint="eastAsia" w:ascii="黑体" w:eastAsia="黑体" w:cs="Times New Roman"/>
          <w:kern w:val="2"/>
          <w:sz w:val="48"/>
          <w:szCs w:val="48"/>
        </w:rPr>
      </w:pPr>
    </w:p>
    <w:p w14:paraId="2570177A">
      <w:pPr>
        <w:widowControl/>
        <w:jc w:val="center"/>
        <w:rPr>
          <w:rFonts w:hint="eastAsia" w:ascii="黑体" w:eastAsia="黑体" w:cs="Times New Roman"/>
          <w:kern w:val="2"/>
          <w:sz w:val="48"/>
          <w:szCs w:val="48"/>
        </w:rPr>
      </w:pPr>
    </w:p>
    <w:p w14:paraId="31AA07D8">
      <w:pPr>
        <w:widowControl/>
        <w:jc w:val="center"/>
        <w:rPr>
          <w:rFonts w:hint="eastAsia" w:ascii="黑体" w:eastAsia="黑体" w:cs="Times New Roman"/>
          <w:kern w:val="2"/>
          <w:sz w:val="48"/>
          <w:szCs w:val="48"/>
        </w:rPr>
      </w:pPr>
    </w:p>
    <w:p w14:paraId="68CE5E6B">
      <w:pPr>
        <w:widowControl/>
        <w:jc w:val="center"/>
        <w:rPr>
          <w:rFonts w:hint="eastAsia" w:ascii="黑体" w:eastAsia="黑体" w:cs="Times New Roman"/>
          <w:kern w:val="2"/>
          <w:sz w:val="48"/>
          <w:szCs w:val="48"/>
        </w:rPr>
      </w:pPr>
    </w:p>
    <w:p w14:paraId="19DC839B">
      <w:pPr>
        <w:widowControl/>
        <w:jc w:val="center"/>
        <w:rPr>
          <w:rFonts w:hint="eastAsia" w:ascii="黑体" w:eastAsia="黑体" w:cs="Times New Roman"/>
          <w:kern w:val="2"/>
          <w:sz w:val="48"/>
          <w:szCs w:val="48"/>
        </w:rPr>
      </w:pPr>
    </w:p>
    <w:p w14:paraId="3B4F25B1">
      <w:pPr>
        <w:widowControl/>
        <w:jc w:val="center"/>
        <w:rPr>
          <w:rFonts w:hint="eastAsia" w:ascii="黑体" w:eastAsia="黑体" w:cs="Times New Roman"/>
          <w:kern w:val="2"/>
          <w:sz w:val="48"/>
          <w:szCs w:val="48"/>
        </w:rPr>
      </w:pPr>
    </w:p>
    <w:p w14:paraId="07663E57">
      <w:pPr>
        <w:widowControl/>
        <w:jc w:val="center"/>
        <w:rPr>
          <w:rFonts w:hint="eastAsia" w:ascii="黑体" w:eastAsia="黑体" w:cs="Times New Roman"/>
          <w:kern w:val="2"/>
          <w:sz w:val="48"/>
          <w:szCs w:val="48"/>
        </w:rPr>
      </w:pPr>
    </w:p>
    <w:p w14:paraId="5BA1831E">
      <w:pPr>
        <w:widowControl/>
        <w:jc w:val="center"/>
        <w:rPr>
          <w:rFonts w:hint="eastAsia" w:ascii="黑体" w:eastAsia="黑体" w:cs="Times New Roman"/>
          <w:kern w:val="2"/>
          <w:sz w:val="48"/>
          <w:szCs w:val="48"/>
        </w:rPr>
      </w:pPr>
    </w:p>
    <w:p w14:paraId="3D7E50F8">
      <w:pPr>
        <w:widowControl/>
        <w:suppressAutoHyphens/>
        <w:jc w:val="center"/>
        <w:rPr>
          <w:rFonts w:hint="eastAsia" w:ascii="黑体" w:eastAsia="黑体" w:cs="Times New Roman"/>
          <w:color w:val="auto"/>
          <w:kern w:val="2"/>
          <w:sz w:val="48"/>
          <w:szCs w:val="48"/>
        </w:rPr>
      </w:pPr>
      <w:r>
        <w:rPr>
          <w:rFonts w:hint="eastAsia" w:ascii="黑体" w:eastAsia="黑体" w:cs="Times New Roman"/>
          <w:color w:val="auto"/>
          <w:kern w:val="2"/>
          <w:sz w:val="48"/>
          <w:szCs w:val="48"/>
        </w:rPr>
        <w:t>目录</w:t>
      </w:r>
    </w:p>
    <w:p w14:paraId="37EC44A9">
      <w:pPr>
        <w:pStyle w:val="13"/>
        <w:rPr>
          <w:rFonts w:hint="eastAsia"/>
          <w:color w:val="auto"/>
        </w:rPr>
      </w:pPr>
    </w:p>
    <w:p w14:paraId="1A43B147">
      <w:pPr>
        <w:pStyle w:val="13"/>
        <w:rPr>
          <w:rFonts w:hint="eastAsia" w:cs="方正兰亭黑_GBK"/>
          <w:color w:val="auto"/>
        </w:rPr>
      </w:pPr>
      <w:r>
        <w:rPr>
          <w:rFonts w:hint="eastAsia" w:cs="方正兰亭黑_GBK"/>
          <w:color w:val="auto"/>
        </w:rPr>
        <w:t>公开时间：2024年10月2日</w:t>
      </w:r>
    </w:p>
    <w:p w14:paraId="79A7AF2D">
      <w:pPr>
        <w:pStyle w:val="13"/>
        <w:rPr>
          <w:rFonts w:hint="eastAsia"/>
          <w:color w:val="auto"/>
        </w:rPr>
      </w:pPr>
    </w:p>
    <w:p w14:paraId="4CD6C5C1">
      <w:pPr>
        <w:pStyle w:val="13"/>
        <w:rPr>
          <w:rFonts w:hint="eastAsia"/>
          <w:color w:val="auto"/>
        </w:rPr>
      </w:pPr>
      <w:bookmarkStart w:id="12" w:name="_Toc1790061464_WPSOffice_Type2"/>
      <w:bookmarkEnd w:id="12"/>
      <w:r>
        <w:rPr>
          <w:rFonts w:hint="eastAsia"/>
          <w:color w:val="auto"/>
        </w:rPr>
        <w:t>目录</w:t>
      </w:r>
    </w:p>
    <w:p w14:paraId="7D0C1743">
      <w:pPr>
        <w:pStyle w:val="13"/>
        <w:rPr>
          <w:rFonts w:hint="eastAsia" w:cs="仿宋_GB2312"/>
          <w:color w:val="auto"/>
        </w:rPr>
      </w:pPr>
      <w:r>
        <w:rPr>
          <w:rFonts w:hint="eastAsia" w:cs="仿宋_GB2312"/>
          <w:bCs/>
          <w:color w:val="auto"/>
        </w:rPr>
        <w:t>第一部分 部门概况</w:t>
      </w:r>
      <w:r>
        <w:rPr>
          <w:rFonts w:hint="eastAsia" w:cs="仿宋_GB2312"/>
          <w:bCs/>
          <w:color w:val="auto"/>
        </w:rPr>
        <w:tab/>
      </w:r>
      <w:r>
        <w:rPr>
          <w:rFonts w:hint="eastAsia" w:cs="仿宋_GB2312"/>
          <w:bCs/>
          <w:color w:val="auto"/>
        </w:rPr>
        <w:t>3</w:t>
      </w:r>
    </w:p>
    <w:p w14:paraId="236202C7">
      <w:pPr>
        <w:pStyle w:val="13"/>
        <w:rPr>
          <w:rFonts w:hint="eastAsia" w:cs="仿宋_GB2312"/>
          <w:color w:val="auto"/>
        </w:rPr>
      </w:pPr>
      <w:r>
        <w:rPr>
          <w:rFonts w:hint="eastAsia" w:cs="仿宋_GB2312"/>
          <w:color w:val="auto"/>
        </w:rPr>
        <w:t>一、</w:t>
      </w:r>
      <w:r>
        <w:rPr>
          <w:rFonts w:cs="仿宋_GB2312"/>
          <w:color w:val="auto"/>
        </w:rPr>
        <w:t>部门职责</w:t>
      </w:r>
      <w:r>
        <w:rPr>
          <w:rFonts w:hint="eastAsia" w:cs="仿宋_GB2312"/>
          <w:color w:val="auto"/>
        </w:rPr>
        <w:tab/>
      </w:r>
      <w:r>
        <w:rPr>
          <w:rFonts w:hint="eastAsia" w:cs="仿宋_GB2312"/>
          <w:color w:val="auto"/>
        </w:rPr>
        <w:t>3</w:t>
      </w:r>
    </w:p>
    <w:p w14:paraId="41522D3B">
      <w:pPr>
        <w:pStyle w:val="13"/>
        <w:rPr>
          <w:rFonts w:hint="eastAsia" w:cs="仿宋_GB2312"/>
          <w:color w:val="auto"/>
        </w:rPr>
      </w:pPr>
      <w:r>
        <w:rPr>
          <w:rFonts w:hint="eastAsia" w:cs="仿宋_GB2312"/>
          <w:color w:val="auto"/>
        </w:rPr>
        <w:t>二、机构设置</w:t>
      </w:r>
      <w:r>
        <w:rPr>
          <w:rFonts w:hint="eastAsia" w:cs="仿宋_GB2312"/>
          <w:color w:val="auto"/>
        </w:rPr>
        <w:tab/>
      </w:r>
      <w:r>
        <w:rPr>
          <w:rFonts w:cs="仿宋_GB2312"/>
          <w:color w:val="auto"/>
        </w:rPr>
        <w:t>3</w:t>
      </w:r>
    </w:p>
    <w:p w14:paraId="6E561AA7">
      <w:pPr>
        <w:pStyle w:val="13"/>
        <w:rPr>
          <w:rFonts w:hint="eastAsia" w:cs="仿宋_GB2312"/>
          <w:color w:val="auto"/>
        </w:rPr>
      </w:pPr>
      <w:r>
        <w:rPr>
          <w:rFonts w:hint="eastAsia" w:cs="仿宋_GB2312"/>
          <w:bCs/>
          <w:color w:val="auto"/>
        </w:rPr>
        <w:t>第二部分 2023年度部门决算情况说明</w:t>
      </w:r>
      <w:r>
        <w:rPr>
          <w:rFonts w:hint="eastAsia" w:cs="仿宋_GB2312"/>
          <w:bCs/>
          <w:color w:val="auto"/>
        </w:rPr>
        <w:tab/>
      </w:r>
      <w:r>
        <w:rPr>
          <w:rFonts w:cs="仿宋_GB2312"/>
          <w:bCs/>
          <w:color w:val="auto"/>
        </w:rPr>
        <w:t>4</w:t>
      </w:r>
    </w:p>
    <w:p w14:paraId="4D8F5B3E">
      <w:pPr>
        <w:pStyle w:val="13"/>
        <w:rPr>
          <w:rFonts w:hint="eastAsia" w:cs="仿宋_GB2312"/>
          <w:color w:val="auto"/>
        </w:rPr>
      </w:pPr>
      <w:r>
        <w:rPr>
          <w:rFonts w:hint="eastAsia" w:cs="仿宋_GB2312"/>
          <w:color w:val="auto"/>
        </w:rPr>
        <w:t>一、 收入支出决算总体情况说明</w:t>
      </w:r>
      <w:r>
        <w:rPr>
          <w:rFonts w:hint="eastAsia" w:cs="仿宋_GB2312"/>
          <w:color w:val="auto"/>
        </w:rPr>
        <w:tab/>
      </w:r>
      <w:r>
        <w:rPr>
          <w:rFonts w:cs="仿宋_GB2312"/>
          <w:color w:val="auto"/>
        </w:rPr>
        <w:t>4</w:t>
      </w:r>
    </w:p>
    <w:p w14:paraId="4F27B291">
      <w:pPr>
        <w:pStyle w:val="13"/>
        <w:rPr>
          <w:rFonts w:hint="eastAsia" w:cs="仿宋_GB2312"/>
          <w:color w:val="auto"/>
        </w:rPr>
      </w:pPr>
      <w:r>
        <w:rPr>
          <w:rFonts w:hint="eastAsia" w:cs="仿宋_GB2312"/>
          <w:color w:val="auto"/>
        </w:rPr>
        <w:t>二、 收入决算情况说明</w:t>
      </w:r>
      <w:r>
        <w:rPr>
          <w:rFonts w:hint="eastAsia" w:cs="仿宋_GB2312"/>
          <w:color w:val="auto"/>
        </w:rPr>
        <w:tab/>
      </w:r>
      <w:r>
        <w:rPr>
          <w:rFonts w:cs="仿宋_GB2312"/>
          <w:color w:val="auto"/>
        </w:rPr>
        <w:t>5</w:t>
      </w:r>
    </w:p>
    <w:p w14:paraId="08DBEA0E">
      <w:pPr>
        <w:pStyle w:val="13"/>
        <w:rPr>
          <w:rFonts w:hint="eastAsia" w:cs="仿宋_GB2312"/>
          <w:color w:val="auto"/>
        </w:rPr>
      </w:pPr>
      <w:r>
        <w:rPr>
          <w:rFonts w:hint="eastAsia" w:cs="仿宋_GB2312"/>
          <w:color w:val="auto"/>
        </w:rPr>
        <w:t>三、 支出决算情况说明</w:t>
      </w:r>
      <w:r>
        <w:rPr>
          <w:rFonts w:hint="eastAsia" w:cs="仿宋_GB2312"/>
          <w:color w:val="auto"/>
        </w:rPr>
        <w:tab/>
      </w:r>
      <w:r>
        <w:rPr>
          <w:rFonts w:cs="仿宋_GB2312"/>
          <w:color w:val="auto"/>
        </w:rPr>
        <w:t>5</w:t>
      </w:r>
    </w:p>
    <w:p w14:paraId="58FF2636">
      <w:pPr>
        <w:pStyle w:val="13"/>
        <w:rPr>
          <w:rFonts w:hint="eastAsia" w:cs="仿宋_GB2312"/>
          <w:color w:val="auto"/>
        </w:rPr>
      </w:pPr>
      <w:r>
        <w:rPr>
          <w:rFonts w:hint="eastAsia" w:cs="仿宋_GB2312"/>
          <w:color w:val="auto"/>
        </w:rPr>
        <w:t>四、财政拨款收入支出决算总体情况说明</w:t>
      </w:r>
      <w:r>
        <w:rPr>
          <w:rFonts w:hint="eastAsia" w:cs="仿宋_GB2312"/>
          <w:color w:val="auto"/>
        </w:rPr>
        <w:tab/>
      </w:r>
      <w:r>
        <w:rPr>
          <w:rFonts w:cs="仿宋_GB2312"/>
          <w:color w:val="auto"/>
        </w:rPr>
        <w:t>5</w:t>
      </w:r>
    </w:p>
    <w:p w14:paraId="1A817EF2">
      <w:pPr>
        <w:pStyle w:val="13"/>
        <w:rPr>
          <w:rFonts w:hint="eastAsia" w:cs="仿宋_GB2312"/>
          <w:color w:val="auto"/>
        </w:rPr>
      </w:pPr>
      <w:r>
        <w:rPr>
          <w:rFonts w:hint="eastAsia" w:cs="仿宋_GB2312"/>
          <w:color w:val="auto"/>
        </w:rPr>
        <w:t>五、一般公共预算财政拨款支出决算情况说明</w:t>
      </w:r>
      <w:r>
        <w:rPr>
          <w:rFonts w:hint="eastAsia" w:cs="仿宋_GB2312"/>
          <w:color w:val="auto"/>
        </w:rPr>
        <w:tab/>
      </w:r>
      <w:r>
        <w:rPr>
          <w:rFonts w:cs="仿宋_GB2312"/>
          <w:color w:val="auto"/>
        </w:rPr>
        <w:t>6</w:t>
      </w:r>
    </w:p>
    <w:p w14:paraId="5592F534">
      <w:pPr>
        <w:pStyle w:val="13"/>
        <w:rPr>
          <w:rFonts w:hint="eastAsia" w:cs="仿宋_GB2312"/>
          <w:color w:val="auto"/>
        </w:rPr>
      </w:pPr>
      <w:r>
        <w:rPr>
          <w:rFonts w:hint="eastAsia" w:cs="仿宋_GB2312"/>
          <w:color w:val="auto"/>
        </w:rPr>
        <w:t>六、一般公共预算财政拨款基本支出决算情况说明</w:t>
      </w:r>
      <w:r>
        <w:rPr>
          <w:rFonts w:hint="eastAsia" w:cs="仿宋_GB2312"/>
          <w:color w:val="auto"/>
        </w:rPr>
        <w:tab/>
      </w:r>
      <w:r>
        <w:rPr>
          <w:rFonts w:cs="仿宋_GB2312"/>
          <w:color w:val="auto"/>
        </w:rPr>
        <w:t>9</w:t>
      </w:r>
    </w:p>
    <w:p w14:paraId="1935901B">
      <w:pPr>
        <w:pStyle w:val="13"/>
        <w:rPr>
          <w:rFonts w:hint="eastAsia" w:cs="仿宋_GB2312"/>
          <w:color w:val="auto"/>
        </w:rPr>
      </w:pPr>
      <w:r>
        <w:rPr>
          <w:rFonts w:hint="eastAsia" w:cs="仿宋_GB2312"/>
          <w:color w:val="auto"/>
        </w:rPr>
        <w:t>七、“三公”经费财政拨款支出决算情况说明</w:t>
      </w:r>
      <w:r>
        <w:rPr>
          <w:rFonts w:hint="eastAsia" w:cs="仿宋_GB2312"/>
          <w:color w:val="auto"/>
        </w:rPr>
        <w:tab/>
      </w:r>
      <w:r>
        <w:rPr>
          <w:rFonts w:cs="仿宋_GB2312"/>
          <w:color w:val="auto"/>
        </w:rPr>
        <w:t>10</w:t>
      </w:r>
    </w:p>
    <w:p w14:paraId="4FE10243">
      <w:pPr>
        <w:pStyle w:val="13"/>
        <w:rPr>
          <w:rFonts w:hint="eastAsia" w:cs="仿宋_GB2312"/>
          <w:color w:val="auto"/>
        </w:rPr>
      </w:pPr>
      <w:r>
        <w:rPr>
          <w:rFonts w:hint="eastAsia" w:cs="仿宋_GB2312"/>
          <w:color w:val="auto"/>
        </w:rPr>
        <w:t>八、政府性基金预算支出决算情况说明</w:t>
      </w:r>
      <w:r>
        <w:rPr>
          <w:rFonts w:hint="eastAsia" w:cs="仿宋_GB2312"/>
          <w:color w:val="auto"/>
        </w:rPr>
        <w:tab/>
      </w:r>
      <w:r>
        <w:rPr>
          <w:rFonts w:cs="仿宋_GB2312"/>
          <w:color w:val="auto"/>
        </w:rPr>
        <w:t>11</w:t>
      </w:r>
    </w:p>
    <w:p w14:paraId="1F1DB617">
      <w:pPr>
        <w:pStyle w:val="13"/>
        <w:rPr>
          <w:rFonts w:hint="eastAsia" w:cs="仿宋_GB2312"/>
          <w:color w:val="auto"/>
        </w:rPr>
      </w:pPr>
      <w:r>
        <w:rPr>
          <w:rFonts w:hint="eastAsia" w:cs="仿宋_GB2312"/>
          <w:color w:val="auto"/>
        </w:rPr>
        <w:t>九、 国有资本经营预算支出决算情况说明</w:t>
      </w:r>
      <w:r>
        <w:rPr>
          <w:rFonts w:hint="eastAsia" w:cs="仿宋_GB2312"/>
          <w:color w:val="auto"/>
        </w:rPr>
        <w:tab/>
      </w:r>
      <w:bookmarkStart w:id="13" w:name="_Toc194237_WPSOffice_Level2Page"/>
      <w:bookmarkEnd w:id="13"/>
      <w:r>
        <w:rPr>
          <w:rFonts w:hint="eastAsia" w:cs="仿宋_GB2312"/>
          <w:color w:val="auto"/>
        </w:rPr>
        <w:t>1</w:t>
      </w:r>
      <w:r>
        <w:rPr>
          <w:rFonts w:cs="仿宋_GB2312"/>
          <w:color w:val="auto"/>
        </w:rPr>
        <w:t>1</w:t>
      </w:r>
    </w:p>
    <w:p w14:paraId="74BD81A4">
      <w:pPr>
        <w:pStyle w:val="13"/>
        <w:rPr>
          <w:rFonts w:hint="eastAsia" w:cs="仿宋_GB2312"/>
          <w:color w:val="auto"/>
        </w:rPr>
      </w:pPr>
      <w:r>
        <w:rPr>
          <w:rFonts w:hint="eastAsia" w:cs="仿宋_GB2312"/>
          <w:color w:val="auto"/>
        </w:rPr>
        <w:t>十、 其他重要事项的情况说明</w:t>
      </w:r>
      <w:r>
        <w:rPr>
          <w:rFonts w:hint="eastAsia" w:cs="仿宋_GB2312"/>
          <w:color w:val="auto"/>
        </w:rPr>
        <w:tab/>
      </w:r>
      <w:bookmarkStart w:id="14" w:name="_Toc1093975619_WPSOffice_Level2Page"/>
      <w:bookmarkEnd w:id="14"/>
      <w:r>
        <w:rPr>
          <w:rFonts w:hint="eastAsia" w:cs="仿宋_GB2312"/>
          <w:color w:val="auto"/>
        </w:rPr>
        <w:t>1</w:t>
      </w:r>
      <w:r>
        <w:rPr>
          <w:rFonts w:cs="仿宋_GB2312"/>
          <w:color w:val="auto"/>
        </w:rPr>
        <w:t>1</w:t>
      </w:r>
    </w:p>
    <w:p w14:paraId="5F381FF0">
      <w:pPr>
        <w:pStyle w:val="13"/>
        <w:rPr>
          <w:rFonts w:hint="eastAsia" w:cs="仿宋_GB2312"/>
          <w:color w:val="auto"/>
        </w:rPr>
      </w:pPr>
      <w:r>
        <w:rPr>
          <w:rFonts w:hint="eastAsia" w:cs="仿宋_GB2312"/>
          <w:bCs/>
          <w:color w:val="auto"/>
        </w:rPr>
        <w:t>第三部分 名词解释</w:t>
      </w:r>
      <w:r>
        <w:rPr>
          <w:rFonts w:hint="eastAsia" w:cs="仿宋_GB2312"/>
          <w:bCs/>
          <w:color w:val="auto"/>
        </w:rPr>
        <w:tab/>
      </w:r>
      <w:bookmarkStart w:id="15" w:name="_Toc1347814969_WPSOffice_Level1Page"/>
      <w:bookmarkEnd w:id="15"/>
      <w:r>
        <w:rPr>
          <w:rFonts w:hint="eastAsia" w:cs="仿宋_GB2312"/>
          <w:bCs/>
          <w:color w:val="auto"/>
        </w:rPr>
        <w:t>1</w:t>
      </w:r>
      <w:r>
        <w:rPr>
          <w:rFonts w:cs="仿宋_GB2312"/>
          <w:bCs/>
          <w:color w:val="auto"/>
        </w:rPr>
        <w:t>3</w:t>
      </w:r>
    </w:p>
    <w:p w14:paraId="577F80E3">
      <w:pPr>
        <w:pStyle w:val="13"/>
        <w:rPr>
          <w:rFonts w:hint="eastAsia" w:cs="仿宋_GB2312"/>
          <w:color w:val="auto"/>
        </w:rPr>
      </w:pPr>
      <w:r>
        <w:rPr>
          <w:rFonts w:hint="eastAsia" w:cs="仿宋_GB2312"/>
          <w:bCs/>
          <w:color w:val="auto"/>
        </w:rPr>
        <w:t>第四部分 附件</w:t>
      </w:r>
      <w:r>
        <w:rPr>
          <w:rFonts w:hint="eastAsia" w:cs="仿宋_GB2312"/>
          <w:bCs/>
          <w:color w:val="auto"/>
        </w:rPr>
        <w:tab/>
      </w:r>
      <w:r>
        <w:rPr>
          <w:rFonts w:cs="仿宋_GB2312"/>
          <w:bCs/>
          <w:color w:val="auto"/>
        </w:rPr>
        <w:t>16</w:t>
      </w:r>
    </w:p>
    <w:p w14:paraId="3643E71B">
      <w:pPr>
        <w:pStyle w:val="13"/>
        <w:rPr>
          <w:rFonts w:hint="eastAsia" w:cs="仿宋_GB2312"/>
          <w:color w:val="auto"/>
        </w:rPr>
      </w:pPr>
      <w:r>
        <w:rPr>
          <w:rFonts w:hint="eastAsia" w:cs="仿宋_GB2312"/>
          <w:bCs/>
          <w:color w:val="auto"/>
        </w:rPr>
        <w:t>第五部分 附表</w:t>
      </w:r>
      <w:r>
        <w:rPr>
          <w:rFonts w:hint="eastAsia" w:cs="仿宋_GB2312"/>
          <w:bCs/>
          <w:color w:val="auto"/>
        </w:rPr>
        <w:tab/>
      </w:r>
      <w:r>
        <w:rPr>
          <w:rFonts w:cs="仿宋_GB2312"/>
          <w:bCs/>
          <w:color w:val="auto"/>
        </w:rPr>
        <w:t>26</w:t>
      </w:r>
    </w:p>
    <w:p w14:paraId="22E93F0B">
      <w:pPr>
        <w:pStyle w:val="13"/>
        <w:rPr>
          <w:rFonts w:hint="eastAsia" w:cs="仿宋_GB2312"/>
          <w:color w:val="auto"/>
        </w:rPr>
      </w:pPr>
      <w:r>
        <w:rPr>
          <w:rFonts w:hint="eastAsia" w:cs="仿宋_GB2312"/>
          <w:color w:val="auto"/>
        </w:rPr>
        <w:t>一、收入支出决算总表</w:t>
      </w:r>
      <w:r>
        <w:rPr>
          <w:rFonts w:hint="eastAsia" w:cs="仿宋_GB2312"/>
          <w:color w:val="auto"/>
        </w:rPr>
        <w:tab/>
      </w:r>
      <w:r>
        <w:rPr>
          <w:rFonts w:cs="仿宋_GB2312"/>
          <w:color w:val="auto"/>
        </w:rPr>
        <w:t>26</w:t>
      </w:r>
    </w:p>
    <w:p w14:paraId="69173762">
      <w:pPr>
        <w:pStyle w:val="13"/>
        <w:rPr>
          <w:rFonts w:hint="eastAsia" w:cs="仿宋_GB2312"/>
          <w:color w:val="auto"/>
        </w:rPr>
      </w:pPr>
      <w:r>
        <w:rPr>
          <w:rFonts w:hint="eastAsia" w:cs="仿宋_GB2312"/>
          <w:color w:val="auto"/>
        </w:rPr>
        <w:t>二、收入决算表</w:t>
      </w:r>
      <w:r>
        <w:rPr>
          <w:rFonts w:hint="eastAsia" w:cs="仿宋_GB2312"/>
          <w:color w:val="auto"/>
        </w:rPr>
        <w:tab/>
      </w:r>
      <w:r>
        <w:rPr>
          <w:rFonts w:cs="仿宋_GB2312"/>
          <w:color w:val="auto"/>
        </w:rPr>
        <w:t>26</w:t>
      </w:r>
    </w:p>
    <w:p w14:paraId="73682411">
      <w:pPr>
        <w:pStyle w:val="13"/>
        <w:rPr>
          <w:rFonts w:hint="eastAsia" w:cs="仿宋_GB2312"/>
          <w:color w:val="auto"/>
        </w:rPr>
      </w:pPr>
      <w:r>
        <w:rPr>
          <w:rFonts w:hint="eastAsia" w:cs="仿宋_GB2312"/>
          <w:color w:val="auto"/>
        </w:rPr>
        <w:t>三、支出决算表</w:t>
      </w:r>
      <w:r>
        <w:rPr>
          <w:rFonts w:hint="eastAsia" w:cs="仿宋_GB2312"/>
          <w:color w:val="auto"/>
        </w:rPr>
        <w:tab/>
      </w:r>
      <w:r>
        <w:rPr>
          <w:rFonts w:cs="仿宋_GB2312"/>
          <w:color w:val="auto"/>
        </w:rPr>
        <w:t>26</w:t>
      </w:r>
    </w:p>
    <w:p w14:paraId="23ACA8F5">
      <w:pPr>
        <w:pStyle w:val="13"/>
        <w:rPr>
          <w:rFonts w:hint="eastAsia" w:cs="仿宋_GB2312"/>
          <w:color w:val="auto"/>
        </w:rPr>
      </w:pPr>
      <w:r>
        <w:rPr>
          <w:rFonts w:hint="eastAsia" w:cs="仿宋_GB2312"/>
          <w:color w:val="auto"/>
        </w:rPr>
        <w:t>四、财政拨款收入支出决算总表</w:t>
      </w:r>
      <w:r>
        <w:rPr>
          <w:rFonts w:hint="eastAsia" w:cs="仿宋_GB2312"/>
          <w:color w:val="auto"/>
        </w:rPr>
        <w:tab/>
      </w:r>
      <w:r>
        <w:rPr>
          <w:rFonts w:cs="仿宋_GB2312"/>
          <w:color w:val="auto"/>
        </w:rPr>
        <w:t>26</w:t>
      </w:r>
    </w:p>
    <w:p w14:paraId="7A8C99B0">
      <w:pPr>
        <w:pStyle w:val="13"/>
        <w:rPr>
          <w:rFonts w:hint="eastAsia" w:cs="仿宋_GB2312"/>
          <w:color w:val="auto"/>
        </w:rPr>
      </w:pPr>
      <w:r>
        <w:rPr>
          <w:rFonts w:hint="eastAsia" w:cs="仿宋_GB2312"/>
          <w:color w:val="auto"/>
        </w:rPr>
        <w:t>五、财政拨款支出决算明细表</w:t>
      </w:r>
      <w:r>
        <w:rPr>
          <w:rFonts w:hint="eastAsia" w:cs="仿宋_GB2312"/>
          <w:color w:val="auto"/>
        </w:rPr>
        <w:tab/>
      </w:r>
      <w:r>
        <w:rPr>
          <w:rFonts w:cs="仿宋_GB2312"/>
          <w:color w:val="auto"/>
        </w:rPr>
        <w:t>26</w:t>
      </w:r>
    </w:p>
    <w:p w14:paraId="35428AAD">
      <w:pPr>
        <w:pStyle w:val="13"/>
        <w:rPr>
          <w:rFonts w:hint="eastAsia" w:cs="仿宋_GB2312"/>
          <w:color w:val="auto"/>
        </w:rPr>
      </w:pPr>
      <w:r>
        <w:rPr>
          <w:rFonts w:hint="eastAsia" w:cs="仿宋_GB2312"/>
          <w:color w:val="auto"/>
        </w:rPr>
        <w:t>六、一般公共预算财政拨款支出决算表</w:t>
      </w:r>
      <w:r>
        <w:rPr>
          <w:rFonts w:hint="eastAsia" w:cs="仿宋_GB2312"/>
          <w:color w:val="auto"/>
        </w:rPr>
        <w:tab/>
      </w:r>
      <w:r>
        <w:rPr>
          <w:rFonts w:cs="仿宋_GB2312"/>
          <w:color w:val="auto"/>
        </w:rPr>
        <w:t>26</w:t>
      </w:r>
    </w:p>
    <w:p w14:paraId="5272F6CB">
      <w:pPr>
        <w:pStyle w:val="13"/>
        <w:rPr>
          <w:rFonts w:hint="eastAsia" w:cs="仿宋_GB2312"/>
          <w:color w:val="auto"/>
        </w:rPr>
      </w:pPr>
      <w:r>
        <w:rPr>
          <w:rFonts w:hint="eastAsia" w:cs="仿宋_GB2312"/>
          <w:color w:val="auto"/>
        </w:rPr>
        <w:t>七、一般公共预算财政拨款支出决算明细表</w:t>
      </w:r>
      <w:r>
        <w:rPr>
          <w:rFonts w:hint="eastAsia" w:cs="仿宋_GB2312"/>
          <w:color w:val="auto"/>
        </w:rPr>
        <w:tab/>
      </w:r>
      <w:r>
        <w:rPr>
          <w:rFonts w:cs="仿宋_GB2312"/>
          <w:color w:val="auto"/>
        </w:rPr>
        <w:t>26</w:t>
      </w:r>
    </w:p>
    <w:p w14:paraId="7FEB76EA">
      <w:pPr>
        <w:pStyle w:val="13"/>
        <w:rPr>
          <w:rFonts w:hint="eastAsia" w:cs="仿宋_GB2312"/>
          <w:color w:val="auto"/>
        </w:rPr>
      </w:pPr>
      <w:r>
        <w:rPr>
          <w:rFonts w:hint="eastAsia" w:cs="仿宋_GB2312"/>
          <w:color w:val="auto"/>
        </w:rPr>
        <w:t>八、一般公共预算财政拨款基本支出决算表</w:t>
      </w:r>
      <w:r>
        <w:rPr>
          <w:rFonts w:hint="eastAsia" w:cs="仿宋_GB2312"/>
          <w:color w:val="auto"/>
        </w:rPr>
        <w:tab/>
      </w:r>
      <w:r>
        <w:rPr>
          <w:rFonts w:cs="仿宋_GB2312"/>
          <w:color w:val="auto"/>
        </w:rPr>
        <w:t>26</w:t>
      </w:r>
    </w:p>
    <w:p w14:paraId="78DDA758">
      <w:pPr>
        <w:pStyle w:val="13"/>
        <w:rPr>
          <w:rFonts w:hint="eastAsia" w:cs="仿宋_GB2312"/>
          <w:color w:val="auto"/>
        </w:rPr>
      </w:pPr>
      <w:r>
        <w:rPr>
          <w:rFonts w:hint="eastAsia" w:cs="仿宋_GB2312"/>
          <w:color w:val="auto"/>
        </w:rPr>
        <w:t>九、一般公共预算财政拨款项目支出决算表</w:t>
      </w:r>
      <w:r>
        <w:rPr>
          <w:rFonts w:hint="eastAsia" w:cs="仿宋_GB2312"/>
          <w:color w:val="auto"/>
        </w:rPr>
        <w:tab/>
      </w:r>
      <w:r>
        <w:rPr>
          <w:rFonts w:cs="仿宋_GB2312"/>
          <w:color w:val="auto"/>
        </w:rPr>
        <w:t>26</w:t>
      </w:r>
    </w:p>
    <w:p w14:paraId="55A8A92A">
      <w:pPr>
        <w:pStyle w:val="13"/>
        <w:rPr>
          <w:rFonts w:hint="eastAsia" w:cs="仿宋_GB2312"/>
          <w:color w:val="auto"/>
        </w:rPr>
      </w:pPr>
      <w:r>
        <w:rPr>
          <w:rFonts w:hint="eastAsia" w:cs="仿宋_GB2312"/>
          <w:color w:val="auto"/>
        </w:rPr>
        <w:t>十、政</w:t>
      </w:r>
      <w:r>
        <w:rPr>
          <w:rFonts w:hint="eastAsia" w:cs="仿宋_GB2312"/>
          <w:bCs/>
          <w:color w:val="auto"/>
        </w:rPr>
        <w:t>府性基金预算财政拨款收入支出决算表</w:t>
      </w:r>
      <w:r>
        <w:rPr>
          <w:rFonts w:hint="eastAsia" w:cs="仿宋_GB2312"/>
          <w:color w:val="auto"/>
        </w:rPr>
        <w:tab/>
      </w:r>
      <w:r>
        <w:rPr>
          <w:rFonts w:cs="仿宋_GB2312"/>
          <w:color w:val="auto"/>
        </w:rPr>
        <w:t>26</w:t>
      </w:r>
    </w:p>
    <w:p w14:paraId="4732ED40">
      <w:pPr>
        <w:pStyle w:val="13"/>
        <w:rPr>
          <w:rFonts w:hint="eastAsia" w:cs="仿宋_GB2312"/>
          <w:color w:val="auto"/>
        </w:rPr>
      </w:pPr>
      <w:r>
        <w:rPr>
          <w:rFonts w:hint="eastAsia" w:cs="仿宋_GB2312"/>
          <w:color w:val="auto"/>
        </w:rPr>
        <w:t>十一、国</w:t>
      </w:r>
      <w:r>
        <w:rPr>
          <w:rFonts w:hint="eastAsia" w:cs="仿宋_GB2312"/>
          <w:bCs/>
          <w:color w:val="auto"/>
        </w:rPr>
        <w:t>有资本经营预算财政拨款收入支出决算表</w:t>
      </w:r>
      <w:r>
        <w:rPr>
          <w:rFonts w:hint="eastAsia" w:cs="仿宋_GB2312"/>
          <w:color w:val="auto"/>
        </w:rPr>
        <w:tab/>
      </w:r>
      <w:r>
        <w:rPr>
          <w:rFonts w:cs="仿宋_GB2312"/>
          <w:color w:val="auto"/>
        </w:rPr>
        <w:t>26</w:t>
      </w:r>
    </w:p>
    <w:p w14:paraId="56A98435">
      <w:pPr>
        <w:pStyle w:val="13"/>
        <w:rPr>
          <w:rFonts w:hint="eastAsia" w:cs="仿宋_GB2312"/>
          <w:color w:val="auto"/>
        </w:rPr>
      </w:pPr>
      <w:r>
        <w:rPr>
          <w:rFonts w:hint="eastAsia" w:cs="仿宋_GB2312"/>
          <w:color w:val="auto"/>
        </w:rPr>
        <w:t>十二、</w:t>
      </w:r>
      <w:r>
        <w:rPr>
          <w:rFonts w:hint="eastAsia" w:cs="仿宋_GB2312"/>
          <w:bCs/>
          <w:color w:val="auto"/>
        </w:rPr>
        <w:t>国有资本经营预算财政拨款支出决算表</w:t>
      </w:r>
      <w:r>
        <w:rPr>
          <w:rFonts w:hint="eastAsia" w:cs="仿宋_GB2312"/>
          <w:color w:val="auto"/>
        </w:rPr>
        <w:tab/>
      </w:r>
      <w:r>
        <w:rPr>
          <w:rFonts w:cs="仿宋_GB2312"/>
          <w:color w:val="auto"/>
        </w:rPr>
        <w:t>26</w:t>
      </w:r>
    </w:p>
    <w:p w14:paraId="6ECEFACA">
      <w:pPr>
        <w:pStyle w:val="13"/>
        <w:rPr>
          <w:rFonts w:hint="eastAsia" w:cs="仿宋_GB2312"/>
          <w:color w:val="auto"/>
        </w:rPr>
      </w:pPr>
      <w:r>
        <w:rPr>
          <w:rFonts w:hint="eastAsia" w:cs="仿宋_GB2312"/>
          <w:color w:val="auto"/>
        </w:rPr>
        <w:t>十三、</w:t>
      </w:r>
      <w:r>
        <w:rPr>
          <w:rFonts w:hint="eastAsia" w:cs="仿宋_GB2312"/>
          <w:bCs/>
          <w:color w:val="auto"/>
        </w:rPr>
        <w:t>财政拨款“三公”经费支出决算表</w:t>
      </w:r>
      <w:r>
        <w:rPr>
          <w:rFonts w:hint="eastAsia" w:cs="仿宋_GB2312"/>
          <w:color w:val="auto"/>
        </w:rPr>
        <w:tab/>
      </w:r>
      <w:r>
        <w:rPr>
          <w:rFonts w:cs="仿宋_GB2312"/>
          <w:color w:val="auto"/>
        </w:rPr>
        <w:t>26</w:t>
      </w:r>
    </w:p>
    <w:p w14:paraId="7348AFB5">
      <w:pPr>
        <w:spacing w:line="560" w:lineRule="exact"/>
        <w:ind w:firstLine="640"/>
        <w:outlineLvl w:val="0"/>
        <w:rPr>
          <w:rFonts w:hint="eastAsia" w:ascii="仿宋_GB2312" w:eastAsia="仿宋_GB2312" w:cs="仿宋_GB2312"/>
          <w:kern w:val="2"/>
          <w:sz w:val="32"/>
          <w:szCs w:val="32"/>
        </w:rPr>
      </w:pPr>
    </w:p>
    <w:p w14:paraId="0731BE06">
      <w:pPr>
        <w:pStyle w:val="29"/>
        <w:ind w:firstLine="0"/>
        <w:rPr>
          <w:rFonts w:hint="eastAsia" w:ascii="仿宋" w:eastAsia="仿宋"/>
          <w:kern w:val="0"/>
          <w:sz w:val="24"/>
        </w:rPr>
      </w:pPr>
    </w:p>
    <w:p w14:paraId="4201C721">
      <w:pPr>
        <w:pStyle w:val="29"/>
        <w:ind w:firstLine="0"/>
        <w:rPr>
          <w:rFonts w:hint="eastAsia" w:ascii="仿宋" w:eastAsia="仿宋"/>
          <w:kern w:val="0"/>
          <w:sz w:val="24"/>
        </w:rPr>
      </w:pPr>
    </w:p>
    <w:p w14:paraId="44BDA96F">
      <w:pPr>
        <w:pStyle w:val="29"/>
        <w:ind w:firstLine="0"/>
        <w:rPr>
          <w:rFonts w:hint="eastAsia" w:ascii="仿宋" w:eastAsia="仿宋"/>
          <w:kern w:val="0"/>
          <w:sz w:val="24"/>
        </w:rPr>
      </w:pPr>
    </w:p>
    <w:p w14:paraId="20ABD5E8">
      <w:pPr>
        <w:pStyle w:val="29"/>
        <w:ind w:firstLine="0"/>
        <w:rPr>
          <w:rFonts w:hint="eastAsia" w:ascii="仿宋" w:eastAsia="仿宋"/>
          <w:kern w:val="0"/>
          <w:sz w:val="24"/>
        </w:rPr>
      </w:pPr>
    </w:p>
    <w:p w14:paraId="4504EE4D">
      <w:pPr>
        <w:pStyle w:val="29"/>
        <w:ind w:firstLine="0"/>
        <w:rPr>
          <w:rFonts w:hint="eastAsia" w:ascii="仿宋" w:eastAsia="仿宋"/>
          <w:kern w:val="0"/>
          <w:sz w:val="24"/>
        </w:rPr>
      </w:pPr>
    </w:p>
    <w:p w14:paraId="77A35E85">
      <w:pPr>
        <w:pStyle w:val="29"/>
        <w:ind w:firstLine="0"/>
        <w:rPr>
          <w:rFonts w:hint="eastAsia" w:ascii="仿宋" w:eastAsia="仿宋"/>
          <w:kern w:val="0"/>
          <w:sz w:val="24"/>
        </w:rPr>
      </w:pPr>
    </w:p>
    <w:p w14:paraId="0097164E">
      <w:pPr>
        <w:pStyle w:val="29"/>
        <w:ind w:firstLine="0"/>
        <w:rPr>
          <w:rFonts w:hint="eastAsia" w:ascii="仿宋" w:eastAsia="仿宋"/>
          <w:kern w:val="0"/>
          <w:sz w:val="24"/>
        </w:rPr>
      </w:pPr>
    </w:p>
    <w:p w14:paraId="551A0368">
      <w:pPr>
        <w:pStyle w:val="29"/>
        <w:ind w:firstLine="0"/>
        <w:rPr>
          <w:rFonts w:hint="eastAsia" w:ascii="仿宋" w:eastAsia="仿宋"/>
          <w:kern w:val="0"/>
          <w:sz w:val="24"/>
        </w:rPr>
      </w:pPr>
    </w:p>
    <w:p w14:paraId="74F89420">
      <w:pPr>
        <w:pStyle w:val="29"/>
        <w:ind w:firstLine="0"/>
        <w:rPr>
          <w:rFonts w:hint="eastAsia" w:ascii="仿宋" w:eastAsia="仿宋"/>
          <w:kern w:val="0"/>
          <w:sz w:val="24"/>
        </w:rPr>
      </w:pPr>
    </w:p>
    <w:p w14:paraId="6E083230">
      <w:pPr>
        <w:pStyle w:val="29"/>
        <w:ind w:firstLine="0"/>
        <w:rPr>
          <w:rFonts w:hint="eastAsia" w:ascii="仿宋" w:eastAsia="仿宋"/>
          <w:kern w:val="0"/>
          <w:sz w:val="24"/>
        </w:rPr>
      </w:pPr>
    </w:p>
    <w:p w14:paraId="234CF514">
      <w:pPr>
        <w:pStyle w:val="29"/>
        <w:ind w:firstLine="0"/>
        <w:rPr>
          <w:rFonts w:hint="eastAsia" w:ascii="仿宋" w:eastAsia="仿宋"/>
          <w:kern w:val="0"/>
          <w:sz w:val="24"/>
        </w:rPr>
      </w:pPr>
    </w:p>
    <w:p w14:paraId="4851C4A8">
      <w:pPr>
        <w:pStyle w:val="29"/>
        <w:ind w:firstLine="0"/>
        <w:rPr>
          <w:rFonts w:hint="eastAsia" w:ascii="仿宋" w:eastAsia="仿宋"/>
          <w:kern w:val="0"/>
          <w:sz w:val="24"/>
        </w:rPr>
      </w:pPr>
    </w:p>
    <w:p w14:paraId="36AF564C">
      <w:pPr>
        <w:pStyle w:val="29"/>
        <w:ind w:firstLine="0"/>
        <w:rPr>
          <w:rFonts w:hint="eastAsia" w:ascii="仿宋" w:eastAsia="仿宋"/>
          <w:kern w:val="0"/>
          <w:sz w:val="24"/>
        </w:rPr>
      </w:pPr>
    </w:p>
    <w:p w14:paraId="79E41DB1">
      <w:pPr>
        <w:pStyle w:val="29"/>
        <w:ind w:firstLine="0"/>
        <w:jc w:val="center"/>
        <w:rPr>
          <w:rFonts w:hint="eastAsia" w:ascii="仿宋" w:eastAsia="仿宋"/>
          <w:kern w:val="0"/>
          <w:sz w:val="24"/>
        </w:rPr>
      </w:pPr>
    </w:p>
    <w:p w14:paraId="2B5CF884">
      <w:pPr>
        <w:pStyle w:val="3"/>
        <w:spacing w:before="0" w:after="0" w:line="576" w:lineRule="exact"/>
        <w:jc w:val="center"/>
        <w:rPr>
          <w:rFonts w:hint="eastAsia" w:ascii="黑体" w:eastAsia="黑体" w:cs="Times New Roman"/>
          <w:kern w:val="2"/>
        </w:rPr>
      </w:pPr>
      <w:bookmarkStart w:id="16" w:name="_Toc1602030548_WPSOffice_Level1"/>
      <w:bookmarkEnd w:id="16"/>
      <w:bookmarkStart w:id="17" w:name="_Toc1519379433_WPSOffice_Level1"/>
      <w:bookmarkEnd w:id="17"/>
      <w:r>
        <w:rPr>
          <w:rFonts w:hint="eastAsia" w:ascii="黑体" w:eastAsia="黑体" w:cs="Times New Roman"/>
          <w:kern w:val="2"/>
        </w:rPr>
        <w:t>第一部分 部门概况</w:t>
      </w:r>
    </w:p>
    <w:p w14:paraId="7A4CCF18">
      <w:pPr>
        <w:spacing w:line="576" w:lineRule="exact"/>
        <w:rPr>
          <w:rFonts w:ascii="Times New Roman" w:hAnsi="Times New Roman" w:cs="Times New Roman"/>
          <w:kern w:val="2"/>
        </w:rPr>
      </w:pPr>
    </w:p>
    <w:p w14:paraId="40D026B9">
      <w:pPr>
        <w:pStyle w:val="4"/>
        <w:spacing w:before="0" w:after="0" w:line="576" w:lineRule="exact"/>
        <w:ind w:firstLine="640"/>
        <w:rPr>
          <w:rFonts w:hint="eastAsia" w:ascii="黑体" w:eastAsia="黑体" w:cs="Times New Roman"/>
          <w:kern w:val="2"/>
        </w:rPr>
      </w:pPr>
      <w:bookmarkStart w:id="18" w:name="_Toc15377197"/>
      <w:bookmarkEnd w:id="18"/>
      <w:bookmarkStart w:id="19" w:name="_Toc15396600"/>
      <w:bookmarkEnd w:id="19"/>
      <w:bookmarkStart w:id="20" w:name="_Toc308508862_WPSOffice_Level2"/>
      <w:bookmarkEnd w:id="20"/>
      <w:bookmarkStart w:id="21" w:name="_Toc1490269188_WPSOffice_Level2"/>
      <w:bookmarkEnd w:id="21"/>
      <w:r>
        <w:rPr>
          <w:rFonts w:hint="eastAsia" w:ascii="黑体" w:eastAsia="黑体" w:cs="Times New Roman"/>
          <w:kern w:val="2"/>
        </w:rPr>
        <w:t>一、部门职责</w:t>
      </w:r>
    </w:p>
    <w:p w14:paraId="5A992197">
      <w:pPr>
        <w:widowControl/>
        <w:spacing w:line="576" w:lineRule="exact"/>
        <w:ind w:firstLine="640"/>
        <w:jc w:val="left"/>
        <w:rPr>
          <w:rFonts w:hint="eastAsia" w:ascii="仿宋" w:eastAsia="仿宋" w:cs="Times New Roman"/>
          <w:kern w:val="2"/>
          <w:sz w:val="32"/>
          <w:szCs w:val="32"/>
        </w:rPr>
      </w:pPr>
      <w:bookmarkStart w:id="22" w:name="_Toc51262947"/>
      <w:bookmarkEnd w:id="22"/>
      <w:r>
        <w:rPr>
          <w:rFonts w:hint="eastAsia" w:ascii="仿宋_GB2312" w:eastAsia="仿宋_GB2312" w:cs="仿宋_GB2312"/>
          <w:kern w:val="2"/>
          <w:sz w:val="32"/>
          <w:szCs w:val="32"/>
        </w:rPr>
        <w:t>一是宣传贯彻国家有关风景名胜、城乡规划、林业、水资源、国土资源、环境保护、旅游、民族、宗教、文物、安全等法律法规。二是拟订白龙湖亭子湖总体规划、控制性详细规划；审核体量大的单体规划。三是参与白龙湖亭子湖建设项目环评工作；指导、监督有关县区完善白龙湖亭子湖环境保护基础设施建设。四是审核白龙湖亭子湖重大产业项目规划；审核相关重大旅游项目开发建设和宣传营销方案，协助白龙湖亭子湖重大旅游宣传营销活动。五是负责白龙湖亭子湖管理、保护和开发利用的统筹协调、业务指导、监督考核等具体工作。六是审核涉及白龙湖亭子湖辖区内以市行业主管部门上报或落实的重大事项；协调白龙湖亭子湖辖区内建设项目和资金的申报（转报)。七是白龙湖亭子湖辖区内城建、国土、环保、林业、交通、旅游、文化、体育、安全等行政执法职责，依法委托给有关县区行使。八是承担广元市白龙湖亭子湖管理领导小组的具体工作。</w:t>
      </w:r>
    </w:p>
    <w:p w14:paraId="6D05C0BB">
      <w:pPr>
        <w:pStyle w:val="4"/>
        <w:spacing w:before="0" w:after="0" w:line="576" w:lineRule="exact"/>
        <w:ind w:firstLine="640"/>
        <w:rPr>
          <w:rFonts w:hint="eastAsia" w:ascii="黑体" w:eastAsia="黑体" w:cs="Times New Roman"/>
          <w:kern w:val="2"/>
        </w:rPr>
      </w:pPr>
      <w:r>
        <w:rPr>
          <w:rFonts w:hint="eastAsia" w:ascii="黑体" w:eastAsia="黑体" w:cs="Times New Roman"/>
          <w:kern w:val="2"/>
        </w:rPr>
        <w:t>二、机构设置</w:t>
      </w:r>
    </w:p>
    <w:p w14:paraId="7A85666E">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kern w:val="2"/>
          <w:sz w:val="32"/>
          <w:szCs w:val="32"/>
        </w:rPr>
        <w:t>市白龙湖管理局成立于1997年，是市政府直属参公管理事业单位，2014年底，将亭子口湖区划归我局管理，重新调整了机构编制方案，核定内设科室7个，人员编制22名。我单位无下属二级单位。</w:t>
      </w:r>
    </w:p>
    <w:p w14:paraId="7DC9FF68">
      <w:pPr>
        <w:widowControl/>
        <w:spacing w:line="576" w:lineRule="exact"/>
        <w:jc w:val="left"/>
        <w:rPr>
          <w:rFonts w:hint="eastAsia" w:ascii="仿宋" w:eastAsia="仿宋" w:cs="Times New Roman"/>
          <w:sz w:val="32"/>
          <w:szCs w:val="32"/>
        </w:rPr>
      </w:pPr>
    </w:p>
    <w:p w14:paraId="0B728882">
      <w:pPr>
        <w:pStyle w:val="29"/>
        <w:spacing w:line="576" w:lineRule="exact"/>
      </w:pPr>
    </w:p>
    <w:p w14:paraId="52C9C550">
      <w:pPr>
        <w:pStyle w:val="3"/>
        <w:spacing w:before="0" w:after="0" w:line="576" w:lineRule="exact"/>
        <w:ind w:right="440"/>
        <w:rPr>
          <w:rFonts w:hint="eastAsia" w:ascii="黑体" w:eastAsia="黑体" w:cs="Times New Roman"/>
          <w:b w:val="0"/>
          <w:kern w:val="2"/>
        </w:rPr>
      </w:pPr>
      <w:bookmarkStart w:id="23" w:name="_Toc15377204"/>
      <w:bookmarkEnd w:id="23"/>
      <w:bookmarkStart w:id="24" w:name="_Toc15396602"/>
      <w:bookmarkEnd w:id="24"/>
    </w:p>
    <w:p w14:paraId="50347B1B">
      <w:pPr>
        <w:rPr>
          <w:rFonts w:ascii="Times New Roman" w:hAnsi="Times New Roman" w:cs="Times New Roman"/>
          <w:kern w:val="2"/>
        </w:rPr>
      </w:pPr>
    </w:p>
    <w:p w14:paraId="46863DB7">
      <w:pPr>
        <w:pStyle w:val="3"/>
        <w:spacing w:before="0" w:after="0" w:line="576" w:lineRule="exact"/>
        <w:jc w:val="center"/>
        <w:rPr>
          <w:rFonts w:hint="eastAsia" w:ascii="黑体" w:eastAsia="黑体" w:cs="Times New Roman"/>
          <w:kern w:val="2"/>
        </w:rPr>
      </w:pPr>
      <w:bookmarkStart w:id="25" w:name="_Toc237709728_WPSOffice_Level1"/>
      <w:bookmarkEnd w:id="25"/>
      <w:bookmarkStart w:id="26" w:name="_Toc1278854896_WPSOffice_Level1"/>
      <w:bookmarkEnd w:id="26"/>
      <w:r>
        <w:rPr>
          <w:rFonts w:hint="eastAsia" w:ascii="黑体" w:eastAsia="黑体" w:cs="Times New Roman"/>
          <w:kern w:val="2"/>
        </w:rPr>
        <w:t>第二部分 2023年度部门决算情况说明</w:t>
      </w:r>
    </w:p>
    <w:p w14:paraId="1DBD3C1E">
      <w:pPr>
        <w:pStyle w:val="3"/>
        <w:spacing w:before="0" w:after="0" w:line="576" w:lineRule="exact"/>
        <w:jc w:val="center"/>
        <w:rPr>
          <w:rFonts w:hint="eastAsia" w:ascii="黑体" w:eastAsia="黑体" w:cs="Times New Roman"/>
          <w:kern w:val="2"/>
        </w:rPr>
      </w:pPr>
    </w:p>
    <w:p w14:paraId="24E03C13">
      <w:pPr>
        <w:pStyle w:val="27"/>
        <w:numPr>
          <w:ilvl w:val="0"/>
          <w:numId w:val="1"/>
        </w:numPr>
        <w:spacing w:line="576" w:lineRule="exact"/>
        <w:ind w:left="1360" w:hanging="720"/>
        <w:outlineLvl w:val="1"/>
        <w:rPr>
          <w:rFonts w:hint="eastAsia" w:ascii="黑体" w:eastAsia="黑体"/>
          <w:sz w:val="32"/>
          <w:szCs w:val="32"/>
        </w:rPr>
      </w:pPr>
      <w:bookmarkStart w:id="27" w:name="_Toc208933119_WPSOffice_Level2"/>
      <w:bookmarkEnd w:id="27"/>
      <w:bookmarkStart w:id="28" w:name="_Toc2059667943_WPSOffice_Level2"/>
      <w:bookmarkEnd w:id="28"/>
      <w:bookmarkStart w:id="29" w:name="_Toc15377205"/>
      <w:bookmarkEnd w:id="29"/>
      <w:bookmarkStart w:id="30" w:name="_Toc15396603"/>
      <w:bookmarkEnd w:id="30"/>
      <w:r>
        <w:rPr>
          <w:rFonts w:hint="eastAsia" w:ascii="黑体" w:eastAsia="黑体"/>
          <w:sz w:val="32"/>
          <w:szCs w:val="32"/>
        </w:rPr>
        <w:t>收入支出决算总体情况说明</w:t>
      </w:r>
    </w:p>
    <w:p w14:paraId="7E42DFD2">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2023年度收、支总计</w:t>
      </w:r>
      <w:r>
        <w:rPr>
          <w:rFonts w:hint="eastAsia" w:ascii="仿宋_GB2312" w:eastAsia="仿宋_GB2312" w:cs="仿宋_GB2312"/>
          <w:kern w:val="2"/>
          <w:sz w:val="32"/>
          <w:szCs w:val="32"/>
        </w:rPr>
        <w:t>599.36</w:t>
      </w:r>
      <w:r>
        <w:rPr>
          <w:rFonts w:hint="eastAsia" w:ascii="仿宋_GB2312" w:eastAsia="仿宋_GB2312" w:cs="Times New Roman"/>
          <w:kern w:val="2"/>
          <w:sz w:val="32"/>
          <w:szCs w:val="32"/>
        </w:rPr>
        <w:t>万元。与2022年相比，收、支总计各减少</w:t>
      </w:r>
      <w:r>
        <w:rPr>
          <w:rFonts w:hint="eastAsia" w:ascii="仿宋_GB2312" w:eastAsia="仿宋_GB2312" w:cs="Times New Roman"/>
          <w:kern w:val="2"/>
          <w:sz w:val="32"/>
          <w:szCs w:val="32"/>
          <w:lang w:val="en" w:eastAsia="en"/>
        </w:rPr>
        <w:t>415.5</w:t>
      </w:r>
      <w:r>
        <w:rPr>
          <w:rFonts w:hint="eastAsia" w:ascii="仿宋_GB2312" w:eastAsia="仿宋_GB2312" w:cs="Times New Roman"/>
          <w:kern w:val="2"/>
          <w:sz w:val="32"/>
          <w:szCs w:val="32"/>
        </w:rPr>
        <w:t>万元，下降41%。主要变动原因是项目资金减少。</w:t>
      </w:r>
    </w:p>
    <w:p w14:paraId="288E7E43">
      <w:pPr>
        <w:pStyle w:val="2"/>
        <w:rPr>
          <w:rFonts w:hint="eastAsia"/>
        </w:rPr>
      </w:pPr>
    </w:p>
    <w:p w14:paraId="5C08A287">
      <w:pPr>
        <w:ind w:firstLine="641"/>
        <w:jc w:val="left"/>
      </w:pPr>
      <w:r>
        <w:object>
          <v:shape id="_x0000_i1025" o:spt="75" type="#_x0000_t75" style="height:198pt;width:309.3pt;" o:ole="t" filled="f" o:preferrelative="t" stroked="f" coordsize="21600,21600">
            <v:path/>
            <v:fill on="f" focussize="0,0"/>
            <v:stroke on="f"/>
            <v:imagedata r:id="rId7" cropright="11697f" o:title=""/>
            <o:lock v:ext="edit" aspectratio="t"/>
            <w10:wrap type="none"/>
            <w10:anchorlock/>
          </v:shape>
          <o:OLEObject Type="Embed" ProgID="MSGraph.Chart.8" ShapeID="_x0000_i1025" DrawAspect="Content" ObjectID="_1468075725" r:id="rId6">
            <o:LockedField>false</o:LockedField>
          </o:OLEObject>
        </w:object>
      </w:r>
    </w:p>
    <w:p w14:paraId="09A74DD7">
      <w:pPr>
        <w:spacing w:line="576" w:lineRule="exact"/>
        <w:ind w:firstLine="640"/>
        <w:rPr>
          <w:rFonts w:hint="eastAsia" w:ascii="仿宋_GB2312" w:eastAsia="仿宋_GB2312" w:cs="Times New Roman"/>
          <w:kern w:val="2"/>
          <w:sz w:val="32"/>
          <w:szCs w:val="32"/>
        </w:rPr>
      </w:pPr>
    </w:p>
    <w:p w14:paraId="2BEEDB5E">
      <w:pPr>
        <w:pStyle w:val="27"/>
        <w:numPr>
          <w:ilvl w:val="0"/>
          <w:numId w:val="1"/>
        </w:numPr>
        <w:spacing w:line="576" w:lineRule="exact"/>
        <w:ind w:left="1360" w:hanging="720"/>
        <w:outlineLvl w:val="1"/>
        <w:rPr>
          <w:rFonts w:hint="eastAsia" w:ascii="黑体" w:eastAsia="黑体"/>
          <w:sz w:val="32"/>
          <w:szCs w:val="32"/>
        </w:rPr>
      </w:pPr>
      <w:bookmarkStart w:id="31" w:name="_Toc15396604"/>
      <w:bookmarkEnd w:id="31"/>
      <w:bookmarkStart w:id="32" w:name="_Toc1857298427_WPSOffice_Level2"/>
      <w:bookmarkEnd w:id="32"/>
      <w:bookmarkStart w:id="33" w:name="_Toc15377206"/>
      <w:bookmarkEnd w:id="33"/>
      <w:bookmarkStart w:id="34" w:name="_Toc978615477_WPSOffice_Level2"/>
      <w:bookmarkEnd w:id="34"/>
      <w:r>
        <w:rPr>
          <w:rFonts w:hint="eastAsia" w:ascii="黑体" w:eastAsia="黑体"/>
          <w:sz w:val="32"/>
          <w:szCs w:val="32"/>
        </w:rPr>
        <w:t>收入决算情况说明</w:t>
      </w:r>
    </w:p>
    <w:p w14:paraId="6896D66F">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kern w:val="2"/>
          <w:sz w:val="32"/>
          <w:szCs w:val="32"/>
        </w:rPr>
        <w:t>2023年本年收入合计575.01万元，其中：一般公共预算财政拨款收入575.01万元，占100%。</w:t>
      </w:r>
    </w:p>
    <w:p w14:paraId="547D4829">
      <w:pPr>
        <w:widowControl/>
        <w:spacing w:line="576" w:lineRule="exact"/>
        <w:jc w:val="left"/>
        <w:rPr>
          <w:rFonts w:ascii="Times New Roman" w:hAnsi="Times New Roman" w:cs="Times New Roman"/>
          <w:kern w:val="2"/>
        </w:rPr>
      </w:pPr>
    </w:p>
    <w:p w14:paraId="1C253ACF">
      <w:pPr>
        <w:widowControl/>
        <w:ind w:firstLine="420"/>
        <w:jc w:val="left"/>
        <w:rPr>
          <w:rFonts w:ascii="Times New Roman" w:hAnsi="Times New Roman" w:cs="Times New Roman"/>
          <w:kern w:val="2"/>
        </w:rPr>
      </w:pPr>
      <w:r>
        <w:rPr>
          <w:rFonts w:ascii="Times New Roman" w:hAnsi="Times New Roman" w:cs="Times New Roman"/>
          <w:kern w:val="2"/>
        </w:rPr>
        <w:object>
          <v:shape id="_x0000_i1026" o:spt="75" type="#_x0000_t75" style="height:181.8pt;width:367.45pt;" o:ole="t" filled="f" o:preferrelative="t" stroked="f" coordsize="21600,21600">
            <v:path/>
            <v:fill on="f" focussize="0,0"/>
            <v:stroke on="f"/>
            <v:imagedata r:id="rId9" cropright="1947f" cropbottom="9783f" o:title=""/>
            <o:lock v:ext="edit" aspectratio="t"/>
            <w10:wrap type="none"/>
            <w10:anchorlock/>
          </v:shape>
          <o:OLEObject Type="Embed" ProgID="MSGraph.Chart.8" ShapeID="_x0000_i1026" DrawAspect="Content" ObjectID="_1468075726" r:id="rId8">
            <o:LockedField>false</o:LockedField>
          </o:OLEObject>
        </w:object>
      </w:r>
    </w:p>
    <w:p w14:paraId="3F8843C9">
      <w:pPr>
        <w:widowControl/>
        <w:spacing w:line="576" w:lineRule="exact"/>
        <w:jc w:val="left"/>
        <w:rPr>
          <w:rFonts w:hint="eastAsia" w:ascii="仿宋_GB2312" w:eastAsia="仿宋_GB2312" w:cs="仿宋_GB2312"/>
          <w:kern w:val="2"/>
          <w:sz w:val="32"/>
          <w:szCs w:val="32"/>
        </w:rPr>
      </w:pPr>
    </w:p>
    <w:p w14:paraId="6E9CDB12">
      <w:pPr>
        <w:pStyle w:val="27"/>
        <w:numPr>
          <w:ilvl w:val="0"/>
          <w:numId w:val="1"/>
        </w:numPr>
        <w:spacing w:line="576" w:lineRule="exact"/>
        <w:ind w:left="1360" w:hanging="720"/>
        <w:outlineLvl w:val="1"/>
        <w:rPr>
          <w:rFonts w:hint="eastAsia" w:ascii="黑体" w:eastAsia="黑体"/>
          <w:sz w:val="32"/>
          <w:szCs w:val="32"/>
        </w:rPr>
      </w:pPr>
      <w:bookmarkStart w:id="35" w:name="_Toc15377207"/>
      <w:bookmarkEnd w:id="35"/>
      <w:bookmarkStart w:id="36" w:name="_Toc1122188029_WPSOffice_Level2"/>
      <w:bookmarkEnd w:id="36"/>
      <w:bookmarkStart w:id="37" w:name="_Toc15396605"/>
      <w:bookmarkEnd w:id="37"/>
      <w:bookmarkStart w:id="38" w:name="_Toc657688429_WPSOffice_Level2"/>
      <w:bookmarkEnd w:id="38"/>
      <w:r>
        <w:rPr>
          <w:rFonts w:hint="eastAsia" w:ascii="黑体" w:eastAsia="黑体"/>
          <w:sz w:val="32"/>
          <w:szCs w:val="32"/>
        </w:rPr>
        <w:t>支出决算情况说明</w:t>
      </w:r>
    </w:p>
    <w:p w14:paraId="64362CCC">
      <w:pPr>
        <w:spacing w:line="576" w:lineRule="exact"/>
        <w:ind w:firstLine="640"/>
        <w:rPr>
          <w:rFonts w:hint="eastAsia" w:ascii="仿宋_GB2312" w:eastAsia="仿宋_GB2312" w:cs="仿宋_GB2312"/>
          <w:kern w:val="2"/>
          <w:sz w:val="32"/>
          <w:szCs w:val="32"/>
        </w:rPr>
      </w:pPr>
      <w:r>
        <w:rPr>
          <w:rFonts w:hint="eastAsia" w:ascii="仿宋_GB2312" w:eastAsia="仿宋_GB2312" w:cs="Times New Roman"/>
          <w:kern w:val="2"/>
          <w:sz w:val="32"/>
          <w:szCs w:val="32"/>
        </w:rPr>
        <w:t>2023年本年支出合计599.36万元，其中</w:t>
      </w:r>
      <w:r>
        <w:rPr>
          <w:rFonts w:hint="eastAsia" w:ascii="仿宋_GB2312" w:eastAsia="仿宋_GB2312" w:cs="仿宋_GB2312"/>
          <w:kern w:val="2"/>
          <w:sz w:val="32"/>
          <w:szCs w:val="32"/>
        </w:rPr>
        <w:t>：基本支出483.82万元，占80.7%；项目支出115.54万元，占19.2%。</w:t>
      </w:r>
    </w:p>
    <w:p w14:paraId="3698273A">
      <w:pPr>
        <w:spacing w:line="576" w:lineRule="exact"/>
        <w:rPr>
          <w:rFonts w:ascii="Times New Roman" w:hAnsi="Times New Roman" w:cs="Times New Roman"/>
          <w:kern w:val="2"/>
        </w:rPr>
      </w:pPr>
    </w:p>
    <w:p w14:paraId="5DD685CE">
      <w:pPr>
        <w:ind w:firstLine="641"/>
        <w:rPr>
          <w:rFonts w:ascii="Times New Roman" w:hAnsi="Times New Roman" w:cs="Times New Roman"/>
          <w:kern w:val="2"/>
        </w:rPr>
      </w:pPr>
      <w:r>
        <w:rPr>
          <w:rFonts w:ascii="Times New Roman" w:hAnsi="Times New Roman" w:cs="Times New Roman"/>
          <w:kern w:val="2"/>
        </w:rPr>
        <w:object>
          <v:shape id="_x0000_i1027" o:spt="75" type="#_x0000_t75" style="height:205.4pt;width:323.95pt;" o:ole="t" filled="f" o:preferrelative="t" stroked="f" coordsize="21600,21600">
            <v:path/>
            <v:fill on="f" focussize="0,0"/>
            <v:stroke on="f"/>
            <v:imagedata r:id="rId11" croptop="4422f" cropbottom="7366f" o:title=""/>
            <o:lock v:ext="edit" aspectratio="t"/>
            <w10:wrap type="none"/>
            <w10:anchorlock/>
          </v:shape>
          <o:OLEObject Type="Embed" ProgID="MSGraph.Chart.8" ShapeID="_x0000_i1027" DrawAspect="Content" ObjectID="_1468075727" r:id="rId10">
            <o:LockedField>false</o:LockedField>
          </o:OLEObject>
        </w:object>
      </w:r>
    </w:p>
    <w:p w14:paraId="70BB4755">
      <w:pPr>
        <w:spacing w:line="576" w:lineRule="exact"/>
        <w:rPr>
          <w:rFonts w:hint="eastAsia" w:ascii="仿宋_GB2312" w:eastAsia="仿宋_GB2312" w:cs="Times New Roman"/>
          <w:kern w:val="2"/>
          <w:sz w:val="32"/>
          <w:szCs w:val="32"/>
        </w:rPr>
      </w:pPr>
    </w:p>
    <w:p w14:paraId="5A3A31A2">
      <w:pPr>
        <w:spacing w:line="576" w:lineRule="exact"/>
        <w:ind w:firstLine="640"/>
        <w:outlineLvl w:val="1"/>
        <w:rPr>
          <w:rFonts w:hint="eastAsia" w:ascii="黑体" w:eastAsia="黑体" w:cs="Times New Roman"/>
          <w:kern w:val="2"/>
          <w:sz w:val="32"/>
          <w:szCs w:val="32"/>
        </w:rPr>
      </w:pPr>
      <w:bookmarkStart w:id="39" w:name="_Toc551266776_WPSOffice_Level2"/>
      <w:bookmarkEnd w:id="39"/>
      <w:bookmarkStart w:id="40" w:name="_Toc15377208"/>
      <w:bookmarkEnd w:id="40"/>
      <w:bookmarkStart w:id="41" w:name="_Toc15396606"/>
      <w:bookmarkEnd w:id="41"/>
      <w:bookmarkStart w:id="42" w:name="_Toc1807335124_WPSOffice_Level2"/>
      <w:bookmarkEnd w:id="42"/>
      <w:r>
        <w:rPr>
          <w:rFonts w:hint="eastAsia" w:ascii="黑体" w:eastAsia="黑体" w:cs="Times New Roman"/>
          <w:kern w:val="2"/>
          <w:sz w:val="32"/>
          <w:szCs w:val="32"/>
        </w:rPr>
        <w:t>四、财政拨款收入支出决算总体情况说明</w:t>
      </w:r>
    </w:p>
    <w:p w14:paraId="713ADA86">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2023年财政拨款收、支总计599.36万元。与2022年相比，财政拨款收、支总计各减少415.5万元，下降41%。主要变动原因是项目资金减少。</w:t>
      </w:r>
    </w:p>
    <w:p w14:paraId="3603C715">
      <w:pPr>
        <w:spacing w:line="576" w:lineRule="exact"/>
      </w:pPr>
    </w:p>
    <w:p w14:paraId="3FFE9562">
      <w:pPr>
        <w:ind w:firstLine="641"/>
      </w:pPr>
      <w:r>
        <w:object>
          <v:shape id="_x0000_i1028" o:spt="75" type="#_x0000_t75" style="height:227.95pt;width:378.7pt;" o:ole="t" filled="f" stroked="f" coordsize="21600,21600">
            <v:path/>
            <v:fill on="f" focussize="0,0"/>
            <v:stroke on="f"/>
            <v:imagedata r:id="rId13" o:title=""/>
            <o:lock v:ext="edit" aspectratio="t"/>
            <w10:wrap type="none"/>
            <w10:anchorlock/>
          </v:shape>
          <o:OLEObject Type="Embed" ProgID="MSGraph.Chart.8" ShapeID="_x0000_i1028" DrawAspect="Content" ObjectID="_1468075728" r:id="rId12">
            <o:LockedField>false</o:LockedField>
          </o:OLEObject>
        </w:object>
      </w:r>
    </w:p>
    <w:p w14:paraId="744D35AB">
      <w:pPr>
        <w:spacing w:line="576" w:lineRule="exact"/>
        <w:rPr>
          <w:rFonts w:hint="eastAsia" w:ascii="仿宋_GB2312" w:eastAsia="仿宋_GB2312" w:cs="Times New Roman"/>
          <w:kern w:val="2"/>
          <w:sz w:val="32"/>
          <w:szCs w:val="32"/>
        </w:rPr>
      </w:pPr>
    </w:p>
    <w:p w14:paraId="11F3FCFF">
      <w:pPr>
        <w:spacing w:line="576" w:lineRule="exact"/>
        <w:ind w:firstLine="640"/>
        <w:outlineLvl w:val="1"/>
        <w:rPr>
          <w:rFonts w:hint="eastAsia" w:ascii="黑体" w:eastAsia="黑体" w:cs="Times New Roman"/>
          <w:kern w:val="2"/>
          <w:sz w:val="32"/>
          <w:szCs w:val="32"/>
        </w:rPr>
      </w:pPr>
      <w:bookmarkStart w:id="43" w:name="_Toc15396607"/>
      <w:bookmarkEnd w:id="43"/>
      <w:bookmarkStart w:id="44" w:name="_Toc15377209"/>
      <w:bookmarkEnd w:id="44"/>
      <w:bookmarkStart w:id="45" w:name="_Toc1658215469_WPSOffice_Level2"/>
      <w:bookmarkEnd w:id="45"/>
      <w:bookmarkStart w:id="46" w:name="_Toc1359558638_WPSOffice_Level2"/>
      <w:bookmarkEnd w:id="46"/>
      <w:r>
        <w:rPr>
          <w:rFonts w:hint="eastAsia" w:ascii="黑体" w:eastAsia="黑体" w:cs="Times New Roman"/>
          <w:kern w:val="2"/>
          <w:sz w:val="32"/>
          <w:szCs w:val="32"/>
        </w:rPr>
        <w:t>五、一般公共预算财政拨款支出决算情况说明</w:t>
      </w:r>
    </w:p>
    <w:p w14:paraId="3B6E6B04">
      <w:pPr>
        <w:spacing w:line="576" w:lineRule="exact"/>
        <w:ind w:firstLine="640"/>
        <w:outlineLvl w:val="2"/>
        <w:rPr>
          <w:rFonts w:hint="eastAsia" w:ascii="楷体_GB2312" w:eastAsia="楷体_GB2312" w:cs="楷体_GB2312"/>
          <w:b/>
          <w:kern w:val="2"/>
          <w:sz w:val="32"/>
          <w:szCs w:val="32"/>
        </w:rPr>
      </w:pPr>
      <w:bookmarkStart w:id="47" w:name="_Toc15377210"/>
      <w:bookmarkEnd w:id="47"/>
      <w:r>
        <w:rPr>
          <w:rFonts w:hint="eastAsia" w:ascii="楷体_GB2312" w:eastAsia="楷体_GB2312" w:cs="楷体_GB2312"/>
          <w:b/>
          <w:kern w:val="2"/>
          <w:sz w:val="32"/>
          <w:szCs w:val="32"/>
        </w:rPr>
        <w:t>（一）一般公共预算财政拨款支出决算总体情况</w:t>
      </w:r>
    </w:p>
    <w:p w14:paraId="59307B57">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2023年一般公共预算财政拨款支出599.36万元，占本年支出合计的100%。与2022年相比，一般公共预算财政拨款支出较少327.5万元，下降44%。主要变动原因是项目资金减少。</w:t>
      </w:r>
    </w:p>
    <w:p w14:paraId="549F2D3C">
      <w:pPr>
        <w:ind w:firstLine="641"/>
      </w:pPr>
      <w:r>
        <w:object>
          <v:shape id="_x0000_i1029" o:spt="75" type="#_x0000_t75" style="height:185.2pt;width:432.7pt;" o:ole="t" filled="f" stroked="f" coordsize="21600,21600">
            <v:path/>
            <v:fill on="f" focussize="0,0"/>
            <v:stroke on="f"/>
            <v:imagedata r:id="rId15" o:title=""/>
            <o:lock v:ext="edit" aspectratio="t"/>
            <w10:wrap type="none"/>
            <w10:anchorlock/>
          </v:shape>
          <o:OLEObject Type="Embed" ProgID="MSGraph.Chart.8" ShapeID="_x0000_i1029" DrawAspect="Content" ObjectID="_1468075729" r:id="rId14">
            <o:LockedField>false</o:LockedField>
          </o:OLEObject>
        </w:object>
      </w:r>
    </w:p>
    <w:p w14:paraId="487E319A">
      <w:pPr>
        <w:spacing w:line="576" w:lineRule="exact"/>
        <w:rPr>
          <w:rFonts w:hint="eastAsia" w:ascii="仿宋_GB2312" w:eastAsia="仿宋_GB2312" w:cs="Times New Roman"/>
          <w:kern w:val="2"/>
          <w:sz w:val="32"/>
          <w:szCs w:val="32"/>
        </w:rPr>
      </w:pPr>
    </w:p>
    <w:p w14:paraId="0BBAF776">
      <w:pPr>
        <w:spacing w:line="576" w:lineRule="exact"/>
        <w:ind w:firstLine="640"/>
        <w:outlineLvl w:val="2"/>
        <w:rPr>
          <w:rFonts w:hint="eastAsia" w:ascii="楷体_GB2312" w:eastAsia="楷体_GB2312" w:cs="楷体_GB2312"/>
          <w:b/>
          <w:kern w:val="2"/>
          <w:sz w:val="32"/>
          <w:szCs w:val="32"/>
        </w:rPr>
      </w:pPr>
      <w:bookmarkStart w:id="48" w:name="_Toc15377211"/>
      <w:bookmarkEnd w:id="48"/>
      <w:r>
        <w:rPr>
          <w:rFonts w:hint="eastAsia" w:ascii="楷体_GB2312" w:eastAsia="楷体_GB2312" w:cs="楷体_GB2312"/>
          <w:b/>
          <w:kern w:val="2"/>
          <w:sz w:val="32"/>
          <w:szCs w:val="32"/>
        </w:rPr>
        <w:t>（二）一般公共预算财政拨款支出决算结构情况</w:t>
      </w:r>
    </w:p>
    <w:p w14:paraId="5FC25DC6">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2023年一般公共预算财政拨款支出599.36万元，主要用于以下方面:社会保障和就业（类）支出87.75万元，占14.6%；卫生健康支出12.47万元，占2%；住房保障支出27万元，占4.5%；节能环保支出66.20万元，占11%；城乡社区支出405.85万元，占67.7%。</w:t>
      </w:r>
      <w:bookmarkStart w:id="49" w:name="_Toc15377212"/>
      <w:bookmarkEnd w:id="49"/>
    </w:p>
    <w:p w14:paraId="0F943DB5">
      <w:pPr>
        <w:spacing w:line="576" w:lineRule="exact"/>
        <w:ind w:firstLine="640"/>
        <w:rPr>
          <w:rFonts w:hint="eastAsia" w:ascii="仿宋_GB2312" w:eastAsia="仿宋_GB2312" w:cs="Times New Roman"/>
          <w:kern w:val="2"/>
          <w:sz w:val="32"/>
          <w:szCs w:val="32"/>
        </w:rPr>
      </w:pPr>
    </w:p>
    <w:p w14:paraId="4734E14A">
      <w:pPr>
        <w:ind w:firstLine="641"/>
      </w:pPr>
      <w:r>
        <w:object>
          <v:shape id="_x0000_i1030" o:spt="75" type="#_x0000_t75" style="height:199.45pt;width:324.7pt;" o:ole="t" filled="f" stroked="f" coordsize="21600,21600">
            <v:path/>
            <v:fill on="f" focussize="0,0"/>
            <v:stroke on="f"/>
            <v:imagedata r:id="rId17" o:title=""/>
            <o:lock v:ext="edit" aspectratio="t"/>
            <w10:wrap type="none"/>
            <w10:anchorlock/>
          </v:shape>
          <o:OLEObject Type="Embed" ProgID="MSGraph.Chart.8" ShapeID="_x0000_i1030" DrawAspect="Content" ObjectID="_1468075730" r:id="rId16">
            <o:LockedField>false</o:LockedField>
          </o:OLEObject>
        </w:object>
      </w:r>
    </w:p>
    <w:p w14:paraId="6EAFCA6E">
      <w:pPr>
        <w:spacing w:line="576" w:lineRule="exact"/>
        <w:rPr>
          <w:rFonts w:hint="eastAsia" w:ascii="仿宋_GB2312" w:eastAsia="仿宋_GB2312" w:cs="Times New Roman"/>
          <w:kern w:val="2"/>
          <w:sz w:val="32"/>
          <w:szCs w:val="32"/>
        </w:rPr>
      </w:pPr>
    </w:p>
    <w:p w14:paraId="48BFAE07">
      <w:pPr>
        <w:spacing w:line="576" w:lineRule="exact"/>
        <w:ind w:firstLine="640"/>
        <w:outlineLvl w:val="2"/>
        <w:rPr>
          <w:rFonts w:hint="eastAsia" w:ascii="楷体_GB2312" w:eastAsia="楷体_GB2312" w:cs="楷体_GB2312"/>
          <w:b/>
          <w:kern w:val="2"/>
          <w:sz w:val="32"/>
          <w:szCs w:val="32"/>
        </w:rPr>
      </w:pPr>
      <w:r>
        <w:rPr>
          <w:rFonts w:hint="eastAsia" w:ascii="楷体_GB2312" w:eastAsia="楷体_GB2312" w:cs="楷体_GB2312"/>
          <w:b/>
          <w:kern w:val="2"/>
          <w:sz w:val="32"/>
          <w:szCs w:val="32"/>
        </w:rPr>
        <w:t>（三）一般公共预算财政拨款支出决算具体情况</w:t>
      </w:r>
    </w:p>
    <w:p w14:paraId="0FD4764E">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2023年一般公共预算支出决算数为599.36万元，完成预算100%。其中：</w:t>
      </w:r>
    </w:p>
    <w:p w14:paraId="70420B0B">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1.社会保障和就业（类）行政事业单位养老（款）机关事业单位基本养老保险缴费（项）: 支出决算为41.85万元，完成预算100%，</w:t>
      </w:r>
    </w:p>
    <w:p w14:paraId="3D2255A1">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2.社会保障和就业（类）行政事业单位养老（款）机关事业单位职业年金缴费（项）：支出决算为5.9万元，完成预算100%。</w:t>
      </w:r>
    </w:p>
    <w:p w14:paraId="0FB99D2F">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3.社会保障和就业（类）抚恤（款）死亡抚恤（项）：支出决算为39.55万元，完成预算100%。</w:t>
      </w:r>
    </w:p>
    <w:p w14:paraId="009DC972">
      <w:pPr>
        <w:spacing w:line="576" w:lineRule="exact"/>
        <w:ind w:firstLine="641"/>
        <w:rPr>
          <w:rFonts w:hint="eastAsia" w:ascii="仿宋_GB2312" w:eastAsia="仿宋_GB2312" w:cs="Times New Roman"/>
          <w:kern w:val="2"/>
          <w:sz w:val="32"/>
          <w:szCs w:val="32"/>
        </w:rPr>
      </w:pPr>
    </w:p>
    <w:p w14:paraId="592D6ACF">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4.社会保障和就业（类）其他社会保障和就业（款）其他社会保障和就业（项）: 支出决算为0.45万元，完成预算100%。</w:t>
      </w:r>
    </w:p>
    <w:p w14:paraId="203EF22B">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5.卫生健康（类）行政事业单位医疗（款）行政单位医疗（项）:支出决算为12.47万元，完成预算100%。</w:t>
      </w:r>
    </w:p>
    <w:p w14:paraId="553867DC">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6.节能环保（类）污染防治（款）水体（项）：支出决算为24.35万元，完成预算100%。</w:t>
      </w:r>
    </w:p>
    <w:p w14:paraId="67CB87A8">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7.节能环保（类）自然生态保护（款）其他自然生态保护支出（项）:支出决算为16.44万元，完成预算100%。</w:t>
      </w:r>
    </w:p>
    <w:p w14:paraId="70F5EB36">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8.节能环保（类）其他节能环保支出（款）其他节能环保支出（项）：支出决算为25.4万元，完成预算100%</w:t>
      </w:r>
    </w:p>
    <w:p w14:paraId="761E3B0C">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9.城乡社区（类）城乡社区规划与管理（款）城乡社区规划与管理（项）:支出决算为405.85万元，完成预算100%。</w:t>
      </w:r>
    </w:p>
    <w:p w14:paraId="4587A377">
      <w:pPr>
        <w:spacing w:line="576" w:lineRule="exact"/>
        <w:ind w:firstLine="641"/>
        <w:rPr>
          <w:rFonts w:hint="eastAsia" w:ascii="仿宋_GB2312" w:eastAsia="仿宋_GB2312" w:cs="Times New Roman"/>
          <w:kern w:val="2"/>
          <w:sz w:val="32"/>
          <w:szCs w:val="32"/>
        </w:rPr>
      </w:pPr>
      <w:r>
        <w:rPr>
          <w:rFonts w:hint="eastAsia" w:ascii="仿宋_GB2312" w:eastAsia="仿宋_GB2312" w:cs="Times New Roman"/>
          <w:kern w:val="2"/>
          <w:sz w:val="32"/>
          <w:szCs w:val="32"/>
        </w:rPr>
        <w:t>10.住房保障（类）住房改革（款）住房公积金（项）:支出决算为27.09万元，完成预算100%。</w:t>
      </w:r>
    </w:p>
    <w:p w14:paraId="2F63795B">
      <w:pPr>
        <w:tabs>
          <w:tab w:val="right" w:pos="8306"/>
        </w:tabs>
        <w:spacing w:line="576" w:lineRule="exact"/>
        <w:ind w:firstLine="640"/>
        <w:outlineLvl w:val="1"/>
        <w:rPr>
          <w:rFonts w:ascii="Cambria" w:hAnsi="Cambria" w:cs="Times New Roman"/>
          <w:b/>
          <w:kern w:val="2"/>
          <w:sz w:val="32"/>
          <w:szCs w:val="32"/>
        </w:rPr>
      </w:pPr>
      <w:bookmarkStart w:id="50" w:name="_Toc521586312_WPSOffice_Level2"/>
      <w:bookmarkEnd w:id="50"/>
      <w:bookmarkStart w:id="51" w:name="_Toc15396608"/>
      <w:bookmarkEnd w:id="51"/>
      <w:bookmarkStart w:id="52" w:name="_Toc15377214"/>
      <w:bookmarkEnd w:id="52"/>
      <w:bookmarkStart w:id="53" w:name="_Toc1245911311_WPSOffice_Level2"/>
      <w:bookmarkEnd w:id="53"/>
      <w:r>
        <w:rPr>
          <w:rFonts w:hint="eastAsia" w:ascii="黑体" w:eastAsia="黑体" w:cs="Times New Roman"/>
          <w:kern w:val="2"/>
          <w:sz w:val="32"/>
          <w:szCs w:val="32"/>
        </w:rPr>
        <w:t>六</w:t>
      </w:r>
      <w:r>
        <w:rPr>
          <w:rFonts w:hint="eastAsia" w:ascii="黑体" w:eastAsia="黑体" w:cs="Times New Roman"/>
          <w:b/>
          <w:kern w:val="2"/>
          <w:sz w:val="32"/>
          <w:szCs w:val="32"/>
        </w:rPr>
        <w:t>、一</w:t>
      </w:r>
      <w:r>
        <w:rPr>
          <w:rFonts w:hint="eastAsia" w:ascii="黑体" w:eastAsia="黑体" w:cs="Times New Roman"/>
          <w:kern w:val="2"/>
          <w:sz w:val="32"/>
          <w:szCs w:val="32"/>
        </w:rPr>
        <w:t>般公共预算财政拨款基本支出决算情况说明</w:t>
      </w:r>
      <w:r>
        <w:rPr>
          <w:rFonts w:hint="eastAsia" w:ascii="黑体" w:eastAsia="黑体" w:cs="Times New Roman"/>
          <w:kern w:val="2"/>
          <w:sz w:val="32"/>
          <w:szCs w:val="32"/>
        </w:rPr>
        <w:tab/>
      </w:r>
    </w:p>
    <w:p w14:paraId="773758C9">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2023年一般公共预算财政拨款基本支出</w:t>
      </w:r>
      <w:r>
        <w:rPr>
          <w:rFonts w:hint="eastAsia" w:ascii="仿宋_GB2312" w:eastAsia="仿宋_GB2312" w:cs="Times New Roman"/>
          <w:kern w:val="2"/>
          <w:sz w:val="32"/>
          <w:szCs w:val="32"/>
          <w:lang w:val="en" w:eastAsia="en"/>
        </w:rPr>
        <w:t>483.82</w:t>
      </w:r>
      <w:r>
        <w:rPr>
          <w:rFonts w:hint="eastAsia" w:ascii="仿宋_GB2312" w:eastAsia="仿宋_GB2312" w:cs="Times New Roman"/>
          <w:kern w:val="2"/>
          <w:sz w:val="32"/>
          <w:szCs w:val="32"/>
        </w:rPr>
        <w:t>万元，其中：</w:t>
      </w:r>
    </w:p>
    <w:p w14:paraId="1FD2256C">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kern w:val="2"/>
          <w:sz w:val="32"/>
          <w:szCs w:val="32"/>
        </w:rPr>
        <w:t>人员经费</w:t>
      </w:r>
      <w:r>
        <w:rPr>
          <w:rFonts w:hint="eastAsia" w:ascii="仿宋_GB2312" w:eastAsia="仿宋_GB2312" w:cs="Times New Roman"/>
          <w:kern w:val="2"/>
          <w:sz w:val="32"/>
          <w:szCs w:val="32"/>
          <w:lang w:val="en" w:eastAsia="en"/>
        </w:rPr>
        <w:t>425.28</w:t>
      </w:r>
      <w:r>
        <w:rPr>
          <w:rFonts w:hint="eastAsia" w:ascii="仿宋_GB2312" w:eastAsia="仿宋_GB2312" w:cs="Times New Roman"/>
          <w:kern w:val="2"/>
          <w:sz w:val="32"/>
          <w:szCs w:val="32"/>
        </w:rPr>
        <w:t>万元，主要包括：基本工资、津贴补贴、奖金、绩效工资、机关事业单位基本养老保险缴费、职业年金缴费、职工基本医疗保险缴费、其他社会保障缴费、抚恤金、生活补助、住房公积金等。</w:t>
      </w:r>
      <w:r>
        <w:rPr>
          <w:rFonts w:hint="eastAsia" w:ascii="仿宋_GB2312" w:eastAsia="仿宋_GB2312" w:cs="Times New Roman"/>
          <w:kern w:val="2"/>
          <w:sz w:val="32"/>
          <w:szCs w:val="32"/>
        </w:rPr>
        <w:br w:type="textWrapping"/>
      </w:r>
      <w:r>
        <w:rPr>
          <w:rFonts w:hint="eastAsia" w:ascii="仿宋_GB2312" w:eastAsia="仿宋_GB2312" w:cs="Times New Roman"/>
          <w:kern w:val="2"/>
          <w:sz w:val="32"/>
          <w:szCs w:val="32"/>
        </w:rPr>
        <w:t>　　公用经费58.64万元，主要包括：办公费、印刷费、水费、电费、邮电费、物业管理费、差旅费、维修（护）费、租赁费、会议费、培训费、公务接待费、委托业务费、工会经费、公务用车运行维护费、其他交通费、其他商品和服务支出等。</w:t>
      </w:r>
    </w:p>
    <w:p w14:paraId="76A70639">
      <w:pPr>
        <w:spacing w:line="576" w:lineRule="exact"/>
        <w:ind w:firstLine="640"/>
        <w:outlineLvl w:val="1"/>
        <w:rPr>
          <w:rFonts w:hint="eastAsia" w:ascii="黑体" w:eastAsia="黑体" w:cs="Times New Roman"/>
          <w:kern w:val="2"/>
          <w:sz w:val="32"/>
          <w:szCs w:val="32"/>
        </w:rPr>
      </w:pPr>
      <w:bookmarkStart w:id="54" w:name="_Toc15377215"/>
      <w:bookmarkEnd w:id="54"/>
      <w:bookmarkStart w:id="55" w:name="_Toc1654981053_WPSOffice_Level2"/>
      <w:bookmarkEnd w:id="55"/>
      <w:bookmarkStart w:id="56" w:name="_Toc15396609"/>
      <w:bookmarkEnd w:id="56"/>
      <w:bookmarkStart w:id="57" w:name="_Toc1031108545_WPSOffice_Level2"/>
      <w:bookmarkEnd w:id="57"/>
      <w:r>
        <w:rPr>
          <w:rFonts w:hint="eastAsia" w:ascii="黑体" w:eastAsia="黑体" w:cs="Times New Roman"/>
          <w:kern w:val="2"/>
          <w:sz w:val="32"/>
          <w:szCs w:val="32"/>
        </w:rPr>
        <w:t>七、</w:t>
      </w:r>
      <w:r>
        <w:rPr>
          <w:rFonts w:hint="eastAsia" w:ascii="黑体" w:eastAsia="黑体" w:cs="Times New Roman"/>
          <w:b/>
          <w:kern w:val="2"/>
          <w:sz w:val="32"/>
          <w:szCs w:val="32"/>
        </w:rPr>
        <w:t>“</w:t>
      </w:r>
      <w:r>
        <w:rPr>
          <w:rFonts w:hint="eastAsia" w:ascii="黑体" w:eastAsia="黑体" w:cs="Times New Roman"/>
          <w:kern w:val="2"/>
          <w:sz w:val="32"/>
          <w:szCs w:val="32"/>
        </w:rPr>
        <w:t>三公”经费财政拨款支出决算情况说明</w:t>
      </w:r>
    </w:p>
    <w:p w14:paraId="69502558">
      <w:pPr>
        <w:spacing w:line="576" w:lineRule="exact"/>
        <w:ind w:firstLine="640"/>
        <w:outlineLvl w:val="2"/>
        <w:rPr>
          <w:rFonts w:hint="eastAsia" w:ascii="仿宋" w:eastAsia="仿宋" w:cs="Times New Roman"/>
          <w:b/>
          <w:kern w:val="2"/>
          <w:sz w:val="32"/>
          <w:szCs w:val="32"/>
        </w:rPr>
      </w:pPr>
      <w:bookmarkStart w:id="58" w:name="_Toc15377216"/>
      <w:bookmarkEnd w:id="58"/>
      <w:r>
        <w:rPr>
          <w:rFonts w:hint="eastAsia" w:ascii="仿宋" w:eastAsia="仿宋" w:cs="Times New Roman"/>
          <w:b/>
          <w:kern w:val="2"/>
          <w:sz w:val="32"/>
          <w:szCs w:val="32"/>
        </w:rPr>
        <w:t>（一）“三公”经费财政拨款支出决算总体情况说明</w:t>
      </w:r>
    </w:p>
    <w:p w14:paraId="355AA2D3">
      <w:pPr>
        <w:spacing w:line="576" w:lineRule="exact"/>
        <w:ind w:firstLine="640"/>
        <w:outlineLvl w:val="1"/>
      </w:pPr>
      <w:r>
        <w:rPr>
          <w:rFonts w:hint="eastAsia" w:ascii="仿宋_GB2312" w:eastAsia="仿宋_GB2312" w:cs="仿宋_GB2312"/>
          <w:kern w:val="2"/>
          <w:sz w:val="32"/>
          <w:szCs w:val="32"/>
        </w:rPr>
        <w:t>2023年“三公”经费财政拨款支出决算为3.29元，完成预算99.7%，</w:t>
      </w:r>
      <w:r>
        <w:rPr>
          <w:rFonts w:hint="eastAsia" w:ascii="仿宋_GB2312" w:eastAsia="仿宋_GB2312" w:cs="仿宋_GB2312"/>
          <w:color w:val="auto"/>
          <w:sz w:val="32"/>
          <w:szCs w:val="32"/>
        </w:rPr>
        <w:t>较上年度增加0.6万元，增长22.3%。</w:t>
      </w:r>
      <w:r>
        <w:rPr>
          <w:rFonts w:hint="eastAsia" w:ascii="仿宋_GB2312" w:eastAsia="仿宋_GB2312" w:cs="仿宋_GB2312"/>
          <w:kern w:val="2"/>
          <w:sz w:val="32"/>
          <w:szCs w:val="32"/>
        </w:rPr>
        <w:t>决算数小于预算数的主要原因是公务用车实际支出较年初预算数小。</w:t>
      </w:r>
    </w:p>
    <w:p w14:paraId="7F52B0CE">
      <w:pPr>
        <w:spacing w:line="576" w:lineRule="exact"/>
        <w:ind w:firstLine="640"/>
        <w:outlineLvl w:val="2"/>
        <w:rPr>
          <w:rFonts w:hint="eastAsia" w:ascii="仿宋" w:eastAsia="仿宋" w:cs="Times New Roman"/>
          <w:b/>
          <w:kern w:val="2"/>
          <w:sz w:val="32"/>
          <w:szCs w:val="32"/>
        </w:rPr>
      </w:pPr>
      <w:bookmarkStart w:id="59" w:name="_Toc15377217"/>
      <w:bookmarkEnd w:id="59"/>
      <w:r>
        <w:rPr>
          <w:rFonts w:hint="eastAsia" w:ascii="仿宋" w:eastAsia="仿宋" w:cs="Times New Roman"/>
          <w:b/>
          <w:kern w:val="2"/>
          <w:sz w:val="32"/>
          <w:szCs w:val="32"/>
        </w:rPr>
        <w:t>（二）“三公”经费财政拨款支出决算具体情况说明</w:t>
      </w:r>
    </w:p>
    <w:p w14:paraId="5BCB43FB">
      <w:pPr>
        <w:spacing w:line="576" w:lineRule="exact"/>
        <w:ind w:firstLine="640"/>
        <w:outlineLvl w:val="1"/>
        <w:rPr>
          <w:rFonts w:hint="eastAsia" w:ascii="仿宋_GB2312" w:eastAsia="仿宋_GB2312" w:cs="仿宋_GB2312"/>
          <w:kern w:val="2"/>
          <w:sz w:val="32"/>
          <w:szCs w:val="32"/>
        </w:rPr>
      </w:pPr>
      <w:r>
        <w:rPr>
          <w:rFonts w:hint="eastAsia" w:ascii="仿宋_GB2312" w:eastAsia="仿宋_GB2312" w:cs="仿宋_GB2312"/>
          <w:kern w:val="2"/>
          <w:sz w:val="32"/>
          <w:szCs w:val="32"/>
        </w:rPr>
        <w:t>2023年“三公”经费财政拨款支出决算中，因公出国（境）费支出决算0万元，占0%；公务用车购置及运行维护费支出决算2.49万元，占75%；公务接待费支出决算0.8万元，占25%。具体情况如下：</w:t>
      </w:r>
    </w:p>
    <w:p w14:paraId="56CEF15F">
      <w:pPr>
        <w:spacing w:line="576" w:lineRule="exact"/>
        <w:ind w:firstLine="640"/>
        <w:outlineLvl w:val="1"/>
        <w:rPr>
          <w:rFonts w:hint="eastAsia" w:ascii="仿宋_GB2312" w:eastAsia="仿宋_GB2312" w:cs="仿宋_GB2312"/>
          <w:kern w:val="2"/>
          <w:sz w:val="32"/>
          <w:szCs w:val="32"/>
        </w:rPr>
      </w:pPr>
    </w:p>
    <w:p w14:paraId="7980AA20">
      <w:pPr>
        <w:spacing w:line="576" w:lineRule="exact"/>
        <w:ind w:firstLine="640"/>
        <w:outlineLvl w:val="1"/>
        <w:rPr>
          <w:rFonts w:hint="eastAsia" w:ascii="仿宋_GB2312" w:eastAsia="仿宋_GB2312" w:cs="仿宋_GB2312"/>
          <w:kern w:val="2"/>
          <w:sz w:val="32"/>
          <w:szCs w:val="32"/>
        </w:rPr>
      </w:pPr>
    </w:p>
    <w:p w14:paraId="115222AF">
      <w:pPr>
        <w:jc w:val="center"/>
        <w:outlineLvl w:val="1"/>
      </w:pPr>
      <w:r>
        <w:object>
          <v:shape id="_x0000_i1031" o:spt="75" type="#_x0000_t75" style="height:156.7pt;width:270.7pt;" o:ole="t" filled="f" stroked="f" coordsize="21600,21600">
            <v:path/>
            <v:fill on="f" focussize="0,0"/>
            <v:stroke on="f"/>
            <v:imagedata r:id="rId19" o:title=""/>
            <o:lock v:ext="edit" aspectratio="t"/>
            <w10:wrap type="none"/>
            <w10:anchorlock/>
          </v:shape>
          <o:OLEObject Type="Embed" ProgID="MSGraph.Chart.8" ShapeID="_x0000_i1031" DrawAspect="Content" ObjectID="_1468075731" r:id="rId18">
            <o:LockedField>false</o:LockedField>
          </o:OLEObject>
        </w:object>
      </w:r>
    </w:p>
    <w:p w14:paraId="55E07210">
      <w:pPr>
        <w:spacing w:line="576" w:lineRule="exact"/>
        <w:ind w:firstLine="645"/>
        <w:rPr>
          <w:rFonts w:hint="eastAsia" w:ascii="仿宋_GB2312" w:eastAsia="仿宋_GB2312" w:cs="Times New Roman"/>
          <w:b/>
          <w:kern w:val="2"/>
          <w:sz w:val="32"/>
          <w:szCs w:val="32"/>
        </w:rPr>
      </w:pPr>
    </w:p>
    <w:p w14:paraId="1D75C674">
      <w:pPr>
        <w:spacing w:line="576" w:lineRule="exact"/>
        <w:ind w:firstLine="645"/>
        <w:rPr>
          <w:rFonts w:hint="eastAsia" w:ascii="仿宋_GB2312" w:eastAsia="仿宋_GB2312" w:cs="Times New Roman"/>
          <w:b/>
          <w:kern w:val="2"/>
          <w:sz w:val="32"/>
          <w:szCs w:val="32"/>
        </w:rPr>
      </w:pPr>
    </w:p>
    <w:p w14:paraId="4AC49B20">
      <w:pPr>
        <w:spacing w:line="576" w:lineRule="exact"/>
        <w:ind w:firstLine="645"/>
        <w:rPr>
          <w:rFonts w:ascii="Times New Roman" w:hAnsi="Times New Roman" w:cs="Times New Roman"/>
          <w:kern w:val="2"/>
        </w:rPr>
      </w:pPr>
      <w:r>
        <w:rPr>
          <w:rFonts w:hint="eastAsia" w:ascii="仿宋_GB2312" w:eastAsia="仿宋_GB2312" w:cs="Times New Roman"/>
          <w:b/>
          <w:kern w:val="2"/>
          <w:sz w:val="32"/>
          <w:szCs w:val="32"/>
        </w:rPr>
        <w:t>1.因公出国（境）经费支出</w:t>
      </w:r>
      <w:r>
        <w:rPr>
          <w:rFonts w:hint="eastAsia" w:ascii="仿宋_GB2312" w:eastAsia="仿宋_GB2312" w:cs="仿宋_GB2312"/>
          <w:kern w:val="2"/>
          <w:sz w:val="32"/>
          <w:szCs w:val="32"/>
        </w:rPr>
        <w:t>0万元，年初未安排预算，较上年无变化。</w:t>
      </w:r>
    </w:p>
    <w:p w14:paraId="79BF3BC3">
      <w:pPr>
        <w:spacing w:line="576" w:lineRule="exact"/>
        <w:ind w:firstLine="640"/>
        <w:rPr>
          <w:rFonts w:hint="eastAsia" w:ascii="仿宋_GB2312" w:eastAsia="仿宋_GB2312" w:cs="Times New Roman"/>
          <w:b/>
          <w:kern w:val="2"/>
          <w:sz w:val="32"/>
          <w:szCs w:val="32"/>
        </w:rPr>
      </w:pPr>
      <w:r>
        <w:rPr>
          <w:rFonts w:hint="eastAsia" w:ascii="仿宋_GB2312" w:eastAsia="仿宋_GB2312" w:cs="Times New Roman"/>
          <w:b/>
          <w:kern w:val="2"/>
          <w:sz w:val="32"/>
          <w:szCs w:val="32"/>
        </w:rPr>
        <w:t>2.公务用车运行维护费支出</w:t>
      </w:r>
      <w:r>
        <w:rPr>
          <w:rFonts w:hint="eastAsia" w:ascii="仿宋_GB2312" w:eastAsia="仿宋_GB2312" w:cs="Times New Roman"/>
          <w:kern w:val="2"/>
          <w:sz w:val="32"/>
          <w:szCs w:val="32"/>
        </w:rPr>
        <w:t>2.49万元,</w:t>
      </w:r>
      <w:r>
        <w:rPr>
          <w:rFonts w:hint="eastAsia" w:ascii="仿宋" w:eastAsia="仿宋" w:cs="Times New Roman"/>
          <w:bCs/>
          <w:kern w:val="2"/>
          <w:sz w:val="32"/>
          <w:szCs w:val="32"/>
        </w:rPr>
        <w:t>完成预算99%。</w:t>
      </w:r>
      <w:r>
        <w:rPr>
          <w:rFonts w:hint="eastAsia" w:ascii="仿宋_GB2312" w:eastAsia="仿宋_GB2312" w:cs="Times New Roman"/>
          <w:kern w:val="2"/>
          <w:sz w:val="32"/>
          <w:szCs w:val="32"/>
        </w:rPr>
        <w:t>公务用车运行维护费支出决算比2022年增加0.38万元，上升15.3%。主要原因是疫情结束，下乡、出差次数增加，公务用车次数增加。</w:t>
      </w:r>
    </w:p>
    <w:p w14:paraId="3D73D7F6">
      <w:pPr>
        <w:spacing w:line="576" w:lineRule="exact"/>
        <w:ind w:firstLine="640"/>
        <w:rPr>
          <w:rFonts w:hint="eastAsia" w:ascii="仿宋_GB2312" w:eastAsia="仿宋_GB2312" w:cs="Times New Roman"/>
          <w:b/>
          <w:kern w:val="2"/>
          <w:sz w:val="32"/>
          <w:szCs w:val="32"/>
        </w:rPr>
      </w:pPr>
      <w:r>
        <w:rPr>
          <w:rFonts w:hint="eastAsia" w:ascii="仿宋_GB2312" w:eastAsia="仿宋_GB2312" w:cs="Times New Roman"/>
          <w:kern w:val="2"/>
          <w:sz w:val="32"/>
          <w:szCs w:val="32"/>
        </w:rPr>
        <w:t>其中：</w:t>
      </w:r>
      <w:r>
        <w:rPr>
          <w:rFonts w:hint="eastAsia" w:ascii="仿宋_GB2312" w:eastAsia="仿宋_GB2312" w:cs="Times New Roman"/>
          <w:b/>
          <w:kern w:val="2"/>
          <w:sz w:val="32"/>
          <w:szCs w:val="32"/>
        </w:rPr>
        <w:t>公务用车购置支出</w:t>
      </w:r>
      <w:r>
        <w:rPr>
          <w:rFonts w:hint="eastAsia" w:ascii="仿宋_GB2312" w:eastAsia="仿宋_GB2312" w:cs="Times New Roman"/>
          <w:kern w:val="2"/>
          <w:sz w:val="32"/>
          <w:szCs w:val="32"/>
        </w:rPr>
        <w:t>0万元。全年按规定更新购置公务用车0辆，单位共有公务用车1辆，其中：越野车1辆。</w:t>
      </w:r>
    </w:p>
    <w:p w14:paraId="3C6B31B4">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b/>
          <w:kern w:val="2"/>
          <w:sz w:val="32"/>
          <w:szCs w:val="32"/>
        </w:rPr>
        <w:t>公务用车运行维护费支出</w:t>
      </w:r>
      <w:r>
        <w:rPr>
          <w:rFonts w:hint="eastAsia" w:ascii="仿宋_GB2312" w:eastAsia="仿宋_GB2312" w:cs="Times New Roman"/>
          <w:kern w:val="2"/>
          <w:sz w:val="32"/>
          <w:szCs w:val="32"/>
        </w:rPr>
        <w:t>2.49万元。主要用于“两湖”巡查、安全检查、考察调研、乡村振兴等所需的公务用车燃料费、维修费、过路过桥费、保险费等支出。</w:t>
      </w:r>
    </w:p>
    <w:p w14:paraId="2DEA3D78">
      <w:pPr>
        <w:spacing w:line="576" w:lineRule="exact"/>
        <w:ind w:firstLine="640"/>
        <w:rPr>
          <w:rFonts w:hint="eastAsia" w:ascii="仿宋_GB2312" w:eastAsia="仿宋_GB2312" w:cs="Times New Roman"/>
          <w:kern w:val="2"/>
          <w:sz w:val="32"/>
          <w:szCs w:val="32"/>
        </w:rPr>
      </w:pPr>
      <w:r>
        <w:rPr>
          <w:rFonts w:hint="eastAsia" w:ascii="仿宋_GB2312" w:eastAsia="仿宋_GB2312" w:cs="Times New Roman"/>
          <w:b/>
          <w:kern w:val="2"/>
          <w:sz w:val="32"/>
          <w:szCs w:val="32"/>
        </w:rPr>
        <w:t>3.公务接待费支出</w:t>
      </w:r>
      <w:r>
        <w:rPr>
          <w:rFonts w:hint="eastAsia" w:ascii="仿宋_GB2312" w:eastAsia="仿宋_GB2312" w:cs="Times New Roman"/>
          <w:kern w:val="2"/>
          <w:sz w:val="32"/>
          <w:szCs w:val="32"/>
        </w:rPr>
        <w:t>0.8万元，</w:t>
      </w:r>
      <w:r>
        <w:rPr>
          <w:rFonts w:hint="eastAsia" w:ascii="仿宋" w:eastAsia="仿宋" w:cs="Times New Roman"/>
          <w:bCs/>
          <w:kern w:val="2"/>
          <w:sz w:val="32"/>
          <w:szCs w:val="32"/>
        </w:rPr>
        <w:t>完成预算100%。</w:t>
      </w:r>
      <w:r>
        <w:rPr>
          <w:rFonts w:hint="eastAsia" w:ascii="仿宋_GB2312" w:eastAsia="仿宋_GB2312" w:cs="Times New Roman"/>
          <w:kern w:val="2"/>
          <w:sz w:val="32"/>
          <w:szCs w:val="32"/>
        </w:rPr>
        <w:t>公务接待费支出决算比2023年增加0.22万元，上升27.5%。主要原因是因疫情结束，来访客商增加。其中：</w:t>
      </w:r>
    </w:p>
    <w:p w14:paraId="5C13C702">
      <w:pPr>
        <w:spacing w:line="576" w:lineRule="exact"/>
        <w:ind w:firstLine="640"/>
        <w:rPr>
          <w:rFonts w:hint="eastAsia" w:ascii="仿宋_GB2312" w:eastAsia="仿宋_GB2312"/>
          <w:color w:val="auto"/>
          <w:sz w:val="32"/>
          <w:szCs w:val="32"/>
        </w:rPr>
      </w:pPr>
      <w:r>
        <w:rPr>
          <w:rFonts w:hint="eastAsia" w:ascii="仿宋_GB2312" w:eastAsia="仿宋_GB2312" w:cs="Times New Roman"/>
          <w:b/>
          <w:bCs/>
          <w:kern w:val="2"/>
          <w:sz w:val="32"/>
          <w:szCs w:val="32"/>
        </w:rPr>
        <w:t>国内公务接待支出</w:t>
      </w:r>
      <w:r>
        <w:rPr>
          <w:rFonts w:hint="eastAsia" w:ascii="仿宋" w:eastAsia="仿宋" w:cs="Times New Roman"/>
          <w:kern w:val="2"/>
          <w:sz w:val="32"/>
          <w:szCs w:val="32"/>
        </w:rPr>
        <w:t>0.8</w:t>
      </w:r>
      <w:r>
        <w:rPr>
          <w:rFonts w:hint="eastAsia" w:ascii="仿宋_GB2312" w:eastAsia="仿宋_GB2312" w:cs="Times New Roman"/>
          <w:kern w:val="2"/>
          <w:sz w:val="32"/>
          <w:szCs w:val="32"/>
        </w:rPr>
        <w:t>万元，主要用于来访客商接待的餐费。国内公务接待8批次，83人次（不包括陪同人员），共计支出0.8万元。</w:t>
      </w:r>
      <w:r>
        <w:rPr>
          <w:rFonts w:hint="eastAsia" w:ascii="仿宋_GB2312" w:eastAsia="仿宋_GB2312"/>
          <w:color w:val="auto"/>
          <w:sz w:val="32"/>
          <w:szCs w:val="32"/>
        </w:rPr>
        <w:t>具体内容包括：</w:t>
      </w:r>
    </w:p>
    <w:p w14:paraId="0E5668C9">
      <w:pPr>
        <w:numPr>
          <w:ilvl w:val="0"/>
          <w:numId w:val="2"/>
        </w:numPr>
        <w:spacing w:line="576" w:lineRule="exact"/>
        <w:rPr>
          <w:rFonts w:hint="eastAsia" w:ascii="仿宋_GB2312" w:eastAsia="仿宋_GB2312"/>
          <w:color w:val="auto"/>
          <w:sz w:val="32"/>
          <w:szCs w:val="32"/>
        </w:rPr>
      </w:pPr>
      <w:r>
        <w:rPr>
          <w:rFonts w:hint="eastAsia" w:ascii="仿宋_GB2312" w:eastAsia="仿宋_GB2312"/>
          <w:color w:val="auto"/>
          <w:sz w:val="32"/>
          <w:szCs w:val="32"/>
        </w:rPr>
        <w:t>接待浙江时华集团一行复我单位项目考察，接待金额1460元。</w:t>
      </w:r>
    </w:p>
    <w:p w14:paraId="29955DA5">
      <w:pPr>
        <w:numPr>
          <w:ilvl w:val="0"/>
          <w:numId w:val="2"/>
        </w:numPr>
        <w:spacing w:line="576" w:lineRule="exact"/>
        <w:rPr>
          <w:rFonts w:hint="eastAsia" w:ascii="仿宋_GB2312" w:eastAsia="仿宋_GB2312" w:cs="Times New Roman"/>
          <w:color w:val="auto"/>
          <w:sz w:val="32"/>
          <w:szCs w:val="32"/>
        </w:rPr>
      </w:pPr>
      <w:r>
        <w:rPr>
          <w:rFonts w:hint="eastAsia" w:ascii="仿宋_GB2312" w:eastAsia="仿宋_GB2312"/>
          <w:color w:val="auto"/>
          <w:sz w:val="32"/>
          <w:szCs w:val="32"/>
        </w:rPr>
        <w:t>接待陕西神木集团一行到我单位项目考察，接待金额1350元。</w:t>
      </w:r>
    </w:p>
    <w:p w14:paraId="12909828">
      <w:pPr>
        <w:numPr>
          <w:ilvl w:val="0"/>
          <w:numId w:val="2"/>
        </w:numPr>
        <w:spacing w:line="576" w:lineRule="exact"/>
        <w:rPr>
          <w:rFonts w:hint="eastAsia" w:ascii="仿宋_GB2312" w:eastAsia="仿宋_GB2312" w:cs="Times New Roman"/>
          <w:color w:val="auto"/>
          <w:sz w:val="32"/>
          <w:szCs w:val="32"/>
        </w:rPr>
      </w:pPr>
      <w:r>
        <w:rPr>
          <w:rFonts w:hint="eastAsia" w:ascii="仿宋_GB2312" w:eastAsia="仿宋_GB2312" w:cs="Times New Roman"/>
          <w:color w:val="auto"/>
          <w:sz w:val="32"/>
          <w:szCs w:val="32"/>
        </w:rPr>
        <w:t>接待四川电视台采访人员，</w:t>
      </w:r>
      <w:r>
        <w:rPr>
          <w:rFonts w:hint="eastAsia" w:ascii="仿宋_GB2312" w:eastAsia="仿宋_GB2312"/>
          <w:color w:val="auto"/>
          <w:sz w:val="32"/>
          <w:szCs w:val="32"/>
        </w:rPr>
        <w:t>接待金额740元。</w:t>
      </w:r>
    </w:p>
    <w:p w14:paraId="2698A440">
      <w:pPr>
        <w:numPr>
          <w:ilvl w:val="0"/>
          <w:numId w:val="2"/>
        </w:numPr>
        <w:spacing w:line="576" w:lineRule="exact"/>
        <w:rPr>
          <w:rFonts w:hint="eastAsia" w:ascii="仿宋_GB2312" w:eastAsia="仿宋_GB2312" w:cs="Times New Roman"/>
          <w:color w:val="auto"/>
          <w:sz w:val="32"/>
          <w:szCs w:val="32"/>
        </w:rPr>
      </w:pPr>
      <w:r>
        <w:rPr>
          <w:rFonts w:hint="eastAsia" w:ascii="仿宋_GB2312" w:eastAsia="仿宋_GB2312" w:cs="Times New Roman"/>
          <w:color w:val="auto"/>
          <w:sz w:val="32"/>
          <w:szCs w:val="32"/>
        </w:rPr>
        <w:t>接待神木公司考察白龙湖接待金额2468元。</w:t>
      </w:r>
    </w:p>
    <w:p w14:paraId="41B7BDEE">
      <w:pPr>
        <w:numPr>
          <w:ilvl w:val="0"/>
          <w:numId w:val="2"/>
        </w:numPr>
        <w:spacing w:line="576" w:lineRule="exact"/>
        <w:rPr>
          <w:rFonts w:ascii="仿宋_GB2312" w:eastAsia="仿宋_GB2312" w:cs="Times New Roman"/>
          <w:color w:val="auto"/>
          <w:sz w:val="32"/>
          <w:szCs w:val="32"/>
        </w:rPr>
      </w:pPr>
      <w:r>
        <w:rPr>
          <w:rFonts w:hint="eastAsia" w:ascii="仿宋_GB2312" w:eastAsia="仿宋_GB2312" w:cs="Times New Roman"/>
          <w:color w:val="auto"/>
          <w:sz w:val="32"/>
          <w:szCs w:val="32"/>
        </w:rPr>
        <w:t>接待陕西神木集团一行到我单位项目考察，接待金额1928元。</w:t>
      </w:r>
    </w:p>
    <w:p w14:paraId="15907928">
      <w:pPr>
        <w:pStyle w:val="29"/>
        <w:ind w:firstLine="626" w:firstLineChars="195"/>
        <w:rPr>
          <w:rFonts w:hint="eastAsia" w:ascii="仿宋_GB2312" w:eastAsia="仿宋_GB2312"/>
          <w:szCs w:val="32"/>
        </w:rPr>
      </w:pPr>
      <w:r>
        <w:rPr>
          <w:rFonts w:hint="eastAsia" w:ascii="仿宋_GB2312" w:eastAsia="仿宋_GB2312"/>
          <w:b/>
          <w:bCs/>
          <w:szCs w:val="32"/>
        </w:rPr>
        <w:t>外事接待支出</w:t>
      </w:r>
      <w:r>
        <w:rPr>
          <w:rFonts w:hint="eastAsia" w:ascii="仿宋_GB2312" w:eastAsia="仿宋_GB2312"/>
          <w:szCs w:val="32"/>
        </w:rPr>
        <w:t>0万元。</w:t>
      </w:r>
    </w:p>
    <w:p w14:paraId="7C46E5DD">
      <w:pPr>
        <w:spacing w:line="576" w:lineRule="exact"/>
        <w:ind w:firstLine="640"/>
        <w:outlineLvl w:val="1"/>
        <w:rPr>
          <w:rFonts w:hint="eastAsia" w:ascii="黑体" w:eastAsia="黑体" w:cs="Times New Roman"/>
          <w:b/>
          <w:kern w:val="2"/>
          <w:sz w:val="32"/>
          <w:szCs w:val="32"/>
        </w:rPr>
      </w:pPr>
      <w:bookmarkStart w:id="60" w:name="_Toc15377218"/>
      <w:bookmarkEnd w:id="60"/>
      <w:bookmarkStart w:id="61" w:name="_Toc445042752_WPSOffice_Level2"/>
      <w:bookmarkEnd w:id="61"/>
      <w:bookmarkStart w:id="62" w:name="_Toc15396610"/>
      <w:bookmarkEnd w:id="62"/>
      <w:bookmarkStart w:id="63" w:name="_Toc57700695_WPSOffice_Level2"/>
      <w:bookmarkEnd w:id="63"/>
      <w:r>
        <w:rPr>
          <w:rFonts w:hint="eastAsia" w:ascii="黑体" w:eastAsia="黑体" w:cs="Times New Roman"/>
          <w:kern w:val="2"/>
          <w:sz w:val="32"/>
          <w:szCs w:val="32"/>
        </w:rPr>
        <w:t>八、政府性基金预算支出决算情况说明</w:t>
      </w:r>
    </w:p>
    <w:p w14:paraId="6B931CB0">
      <w:pPr>
        <w:spacing w:line="576" w:lineRule="exact"/>
        <w:ind w:firstLine="640"/>
        <w:rPr>
          <w:rFonts w:ascii="Times New Roman" w:hAnsi="Times New Roman" w:cs="Times New Roman"/>
          <w:kern w:val="2"/>
        </w:rPr>
      </w:pPr>
      <w:r>
        <w:rPr>
          <w:rFonts w:hint="eastAsia" w:ascii="仿宋_GB2312" w:eastAsia="仿宋_GB2312" w:cs="Times New Roman"/>
          <w:kern w:val="2"/>
          <w:sz w:val="32"/>
          <w:szCs w:val="32"/>
        </w:rPr>
        <w:t>2023年政府性基金预算财政拨款支出0万元。</w:t>
      </w:r>
    </w:p>
    <w:p w14:paraId="76E45B44">
      <w:pPr>
        <w:numPr>
          <w:ilvl w:val="0"/>
          <w:numId w:val="3"/>
        </w:numPr>
        <w:spacing w:line="576" w:lineRule="exact"/>
        <w:ind w:firstLine="640"/>
        <w:outlineLvl w:val="1"/>
        <w:rPr>
          <w:rFonts w:hint="eastAsia" w:ascii="黑体" w:eastAsia="黑体" w:cs="Times New Roman"/>
          <w:kern w:val="2"/>
          <w:sz w:val="32"/>
          <w:szCs w:val="32"/>
        </w:rPr>
      </w:pPr>
      <w:bookmarkStart w:id="64" w:name="_Toc194237_WPSOffice_Level2"/>
      <w:bookmarkEnd w:id="64"/>
      <w:bookmarkStart w:id="65" w:name="_Toc15396611"/>
      <w:bookmarkEnd w:id="65"/>
      <w:bookmarkStart w:id="66" w:name="_Toc15377219"/>
      <w:bookmarkEnd w:id="66"/>
      <w:bookmarkStart w:id="67" w:name="_Toc1035578815_WPSOffice_Level2"/>
      <w:bookmarkEnd w:id="67"/>
      <w:r>
        <w:rPr>
          <w:rFonts w:hint="eastAsia" w:ascii="黑体" w:eastAsia="黑体" w:cs="Times New Roman"/>
          <w:kern w:val="2"/>
          <w:sz w:val="32"/>
          <w:szCs w:val="32"/>
        </w:rPr>
        <w:t>国有资本经营预算支出决算情况说明</w:t>
      </w:r>
    </w:p>
    <w:p w14:paraId="2986AF9B">
      <w:pPr>
        <w:spacing w:line="576" w:lineRule="exact"/>
        <w:ind w:firstLine="640"/>
        <w:rPr>
          <w:rFonts w:ascii="Times New Roman" w:hAnsi="Times New Roman" w:cs="Times New Roman"/>
          <w:kern w:val="2"/>
        </w:rPr>
      </w:pPr>
      <w:r>
        <w:rPr>
          <w:rFonts w:hint="eastAsia" w:ascii="仿宋_GB2312" w:eastAsia="仿宋_GB2312" w:cs="Times New Roman"/>
          <w:kern w:val="2"/>
          <w:sz w:val="32"/>
          <w:szCs w:val="32"/>
        </w:rPr>
        <w:t>2023年国有资本经营预算财政拨款支出0万元。</w:t>
      </w:r>
      <w:bookmarkStart w:id="68" w:name="_Toc15377221"/>
      <w:bookmarkEnd w:id="68"/>
      <w:bookmarkStart w:id="69" w:name="_Toc15396612"/>
      <w:bookmarkEnd w:id="69"/>
    </w:p>
    <w:p w14:paraId="02BA3A31">
      <w:pPr>
        <w:suppressAutoHyphens/>
        <w:spacing w:line="560" w:lineRule="exact"/>
        <w:ind w:firstLine="640"/>
        <w:rPr>
          <w:rFonts w:hint="eastAsia" w:ascii="黑体" w:eastAsia="黑体" w:cs="仿宋_GB2312"/>
          <w:kern w:val="2"/>
          <w:sz w:val="32"/>
          <w:szCs w:val="32"/>
        </w:rPr>
      </w:pPr>
      <w:r>
        <w:rPr>
          <w:rFonts w:hint="eastAsia" w:ascii="黑体" w:eastAsia="黑体" w:cs="仿宋_GB2312"/>
          <w:kern w:val="2"/>
          <w:sz w:val="32"/>
          <w:szCs w:val="32"/>
        </w:rPr>
        <w:t>十、其他重要事项的情况说明</w:t>
      </w:r>
    </w:p>
    <w:p w14:paraId="7F42053E">
      <w:pPr>
        <w:suppressAutoHyphens/>
        <w:spacing w:line="560" w:lineRule="exact"/>
        <w:ind w:firstLine="640"/>
        <w:rPr>
          <w:rFonts w:hint="eastAsia" w:ascii="仿宋" w:eastAsia="仿宋" w:cs="仿宋_GB2312"/>
          <w:b/>
          <w:kern w:val="2"/>
          <w:sz w:val="32"/>
          <w:szCs w:val="32"/>
        </w:rPr>
      </w:pPr>
      <w:r>
        <w:rPr>
          <w:rFonts w:hint="eastAsia" w:ascii="仿宋" w:eastAsia="仿宋" w:cs="仿宋_GB2312"/>
          <w:b/>
          <w:kern w:val="2"/>
          <w:sz w:val="32"/>
          <w:szCs w:val="32"/>
        </w:rPr>
        <w:t>（一）机关运行经费</w:t>
      </w:r>
    </w:p>
    <w:p w14:paraId="07694DB0">
      <w:pPr>
        <w:spacing w:line="600" w:lineRule="exact"/>
        <w:ind w:firstLine="640" w:firstLineChars="200"/>
        <w:rPr>
          <w:rFonts w:hint="eastAsia" w:ascii="仿宋_GB2312" w:eastAsia="仿宋_GB2312"/>
          <w:color w:val="auto"/>
          <w:sz w:val="32"/>
          <w:szCs w:val="32"/>
        </w:rPr>
      </w:pPr>
      <w:r>
        <w:rPr>
          <w:rFonts w:hint="eastAsia" w:ascii="仿宋_GB2312" w:eastAsia="仿宋_GB2312" w:cs="仿宋_GB2312"/>
          <w:kern w:val="2"/>
          <w:sz w:val="32"/>
          <w:szCs w:val="32"/>
        </w:rPr>
        <w:t>2023年，</w:t>
      </w:r>
      <w:r>
        <w:rPr>
          <w:rFonts w:hint="eastAsia" w:ascii="仿宋_GB2312" w:eastAsia="仿宋_GB2312" w:cs="仿宋_GB2312"/>
          <w:kern w:val="2"/>
          <w:sz w:val="32"/>
          <w:szCs w:val="32"/>
          <w:lang w:eastAsia="zh-Hans"/>
        </w:rPr>
        <w:t>市</w:t>
      </w:r>
      <w:r>
        <w:rPr>
          <w:rFonts w:hint="eastAsia" w:ascii="仿宋_GB2312" w:eastAsia="仿宋_GB2312" w:cs="仿宋_GB2312"/>
          <w:kern w:val="2"/>
          <w:sz w:val="32"/>
          <w:szCs w:val="32"/>
        </w:rPr>
        <w:t>白龙湖管理</w:t>
      </w:r>
      <w:r>
        <w:rPr>
          <w:rFonts w:hint="eastAsia" w:ascii="仿宋_GB2312" w:eastAsia="仿宋_GB2312" w:cs="仿宋_GB2312"/>
          <w:kern w:val="2"/>
          <w:sz w:val="32"/>
          <w:szCs w:val="32"/>
          <w:lang w:eastAsia="zh-Hans"/>
        </w:rPr>
        <w:t>局</w:t>
      </w:r>
      <w:r>
        <w:rPr>
          <w:rFonts w:hint="eastAsia" w:ascii="仿宋_GB2312" w:eastAsia="仿宋_GB2312" w:cs="仿宋_GB2312"/>
          <w:kern w:val="2"/>
          <w:sz w:val="32"/>
          <w:szCs w:val="32"/>
        </w:rPr>
        <w:t>的机关运行经费58.64万元，</w:t>
      </w:r>
      <w:r>
        <w:rPr>
          <w:rFonts w:hint="eastAsia" w:ascii="仿宋_GB2312" w:eastAsia="仿宋_GB2312"/>
          <w:color w:val="auto"/>
          <w:sz w:val="32"/>
          <w:szCs w:val="32"/>
        </w:rPr>
        <w:t>比2022年度增加0.13万元，增长0.22%。主要原因是机关运行成本增加。</w:t>
      </w:r>
    </w:p>
    <w:p w14:paraId="5174856F">
      <w:pPr>
        <w:suppressAutoHyphens/>
        <w:spacing w:line="560" w:lineRule="exact"/>
        <w:ind w:firstLine="640"/>
        <w:rPr>
          <w:rFonts w:hint="eastAsia" w:ascii="仿宋" w:eastAsia="仿宋" w:cs="仿宋_GB2312"/>
          <w:b/>
          <w:kern w:val="2"/>
          <w:sz w:val="32"/>
          <w:szCs w:val="32"/>
        </w:rPr>
      </w:pPr>
      <w:r>
        <w:rPr>
          <w:rFonts w:hint="eastAsia" w:ascii="仿宋" w:eastAsia="仿宋" w:cs="仿宋_GB2312"/>
          <w:b/>
          <w:kern w:val="2"/>
          <w:sz w:val="32"/>
          <w:szCs w:val="32"/>
        </w:rPr>
        <w:t>（二）政府采购情况</w:t>
      </w:r>
    </w:p>
    <w:p w14:paraId="52257A22">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w:t>
      </w:r>
      <w:r>
        <w:rPr>
          <w:rFonts w:hint="eastAsia" w:ascii="仿宋_GB2312" w:eastAsia="仿宋_GB2312" w:cs="仿宋_GB2312"/>
          <w:kern w:val="2"/>
          <w:sz w:val="32"/>
          <w:szCs w:val="32"/>
          <w:lang w:eastAsia="zh-Hans"/>
        </w:rPr>
        <w:t>市</w:t>
      </w:r>
      <w:r>
        <w:rPr>
          <w:rFonts w:hint="eastAsia" w:ascii="仿宋_GB2312" w:eastAsia="仿宋_GB2312" w:cs="仿宋_GB2312"/>
          <w:kern w:val="2"/>
          <w:sz w:val="32"/>
          <w:szCs w:val="32"/>
        </w:rPr>
        <w:t>白龙湖管理</w:t>
      </w:r>
      <w:r>
        <w:rPr>
          <w:rFonts w:hint="eastAsia" w:ascii="仿宋_GB2312" w:eastAsia="仿宋_GB2312" w:cs="仿宋_GB2312"/>
          <w:kern w:val="2"/>
          <w:sz w:val="32"/>
          <w:szCs w:val="32"/>
          <w:lang w:eastAsia="zh-Hans"/>
        </w:rPr>
        <w:t>局</w:t>
      </w:r>
      <w:r>
        <w:rPr>
          <w:rFonts w:hint="eastAsia" w:ascii="仿宋_GB2312" w:eastAsia="仿宋_GB2312"/>
          <w:color w:val="auto"/>
          <w:sz w:val="32"/>
          <w:szCs w:val="32"/>
        </w:rPr>
        <w:t>政府采购支出总额55.6万元，其中：政府采购货物支出0.8万元，主要用于办公室打印纸采购；政府采购服务支出54.8万元，主要用于白龙湖总规评估报告编制服务。授予中小企业合同金额54.8万元，占政府采购支出总额的98%，其中：授予小微企业合同金额0.8万元，占政府采购支出总额的0.2%。</w:t>
      </w:r>
    </w:p>
    <w:p w14:paraId="4FAD8EC4">
      <w:pPr>
        <w:suppressAutoHyphens/>
        <w:spacing w:line="560" w:lineRule="exact"/>
        <w:ind w:firstLine="640"/>
        <w:rPr>
          <w:rFonts w:hint="eastAsia" w:ascii="仿宋_GB2312" w:eastAsia="仿宋_GB2312" w:cs="仿宋_GB2312"/>
          <w:kern w:val="2"/>
          <w:sz w:val="32"/>
          <w:szCs w:val="32"/>
        </w:rPr>
      </w:pPr>
    </w:p>
    <w:p w14:paraId="546AE083">
      <w:pPr>
        <w:suppressAutoHyphens/>
        <w:spacing w:line="560" w:lineRule="exact"/>
        <w:ind w:firstLine="640"/>
        <w:rPr>
          <w:rFonts w:hint="eastAsia" w:ascii="仿宋" w:eastAsia="仿宋" w:cs="仿宋_GB2312"/>
          <w:b/>
          <w:kern w:val="2"/>
          <w:sz w:val="32"/>
          <w:szCs w:val="32"/>
        </w:rPr>
      </w:pPr>
      <w:r>
        <w:rPr>
          <w:rFonts w:hint="eastAsia" w:ascii="仿宋" w:eastAsia="仿宋" w:cs="仿宋_GB2312"/>
          <w:b/>
          <w:kern w:val="2"/>
          <w:sz w:val="32"/>
          <w:szCs w:val="32"/>
        </w:rPr>
        <w:t>（三）国有资产占有使用情况</w:t>
      </w:r>
    </w:p>
    <w:p w14:paraId="4F5A270A">
      <w:pPr>
        <w:autoSpaceDE w:val="0"/>
        <w:autoSpaceDN w:val="0"/>
        <w:adjustRightInd w:val="0"/>
        <w:spacing w:line="600" w:lineRule="exact"/>
        <w:ind w:firstLine="640" w:firstLineChars="200"/>
        <w:jc w:val="left"/>
        <w:rPr>
          <w:rFonts w:hint="eastAsia" w:ascii="仿宋_GB2312" w:eastAsia="仿宋_GB2312" w:cs="仿宋_GB2312"/>
          <w:kern w:val="2"/>
          <w:sz w:val="32"/>
          <w:szCs w:val="32"/>
        </w:rPr>
      </w:pPr>
      <w:r>
        <w:rPr>
          <w:rFonts w:hint="eastAsia" w:ascii="仿宋_GB2312" w:eastAsia="仿宋_GB2312" w:cs="仿宋_GB2312"/>
          <w:kern w:val="2"/>
          <w:sz w:val="32"/>
          <w:szCs w:val="32"/>
        </w:rPr>
        <w:t>截至2023年底，</w:t>
      </w:r>
      <w:r>
        <w:rPr>
          <w:rFonts w:hint="eastAsia" w:ascii="仿宋_GB2312" w:eastAsia="仿宋_GB2312" w:cs="仿宋_GB2312"/>
          <w:kern w:val="2"/>
          <w:sz w:val="32"/>
          <w:szCs w:val="32"/>
          <w:lang w:eastAsia="zh-Hans"/>
        </w:rPr>
        <w:t>市</w:t>
      </w:r>
      <w:r>
        <w:rPr>
          <w:rFonts w:hint="eastAsia" w:ascii="仿宋_GB2312" w:eastAsia="仿宋_GB2312" w:cs="仿宋_GB2312"/>
          <w:kern w:val="2"/>
          <w:sz w:val="32"/>
          <w:szCs w:val="32"/>
        </w:rPr>
        <w:t>白龙湖管理</w:t>
      </w:r>
      <w:r>
        <w:rPr>
          <w:rFonts w:hint="eastAsia" w:ascii="仿宋_GB2312" w:eastAsia="仿宋_GB2312" w:cs="仿宋_GB2312"/>
          <w:kern w:val="2"/>
          <w:sz w:val="32"/>
          <w:szCs w:val="32"/>
          <w:lang w:eastAsia="zh-Hans"/>
        </w:rPr>
        <w:t>局</w:t>
      </w:r>
      <w:r>
        <w:rPr>
          <w:rFonts w:hint="eastAsia" w:ascii="仿宋_GB2312" w:eastAsia="仿宋_GB2312" w:cs="仿宋_GB2312"/>
          <w:kern w:val="2"/>
          <w:sz w:val="32"/>
          <w:szCs w:val="32"/>
        </w:rPr>
        <w:t>位共有车辆1辆，其中，</w:t>
      </w:r>
      <w:r>
        <w:rPr>
          <w:rFonts w:hint="eastAsia" w:ascii="仿宋_GB2312" w:eastAsia="仿宋_GB2312" w:cs="仿宋_GB2312"/>
          <w:kern w:val="2"/>
          <w:sz w:val="32"/>
          <w:szCs w:val="32"/>
          <w:lang w:eastAsia="zh-Hans"/>
        </w:rPr>
        <w:t>一般公务用车</w:t>
      </w:r>
      <w:r>
        <w:rPr>
          <w:rFonts w:hint="eastAsia" w:ascii="仿宋_GB2312" w:eastAsia="仿宋_GB2312" w:cs="仿宋_GB2312"/>
          <w:kern w:val="2"/>
          <w:sz w:val="32"/>
          <w:szCs w:val="32"/>
        </w:rPr>
        <w:t>1</w:t>
      </w:r>
      <w:r>
        <w:rPr>
          <w:rFonts w:hint="eastAsia" w:ascii="仿宋_GB2312" w:eastAsia="仿宋_GB2312" w:cs="仿宋_GB2312"/>
          <w:kern w:val="2"/>
          <w:sz w:val="32"/>
          <w:szCs w:val="32"/>
          <w:lang w:eastAsia="zh-Hans"/>
        </w:rPr>
        <w:t>辆</w:t>
      </w:r>
      <w:r>
        <w:rPr>
          <w:rFonts w:hint="eastAsia" w:ascii="仿宋_GB2312" w:eastAsia="仿宋_GB2312" w:cs="仿宋_GB2312"/>
          <w:kern w:val="2"/>
          <w:sz w:val="32"/>
          <w:szCs w:val="32"/>
        </w:rPr>
        <w:t>。</w:t>
      </w:r>
      <w:r>
        <w:rPr>
          <w:rFonts w:hint="eastAsia" w:ascii="仿宋_GB2312" w:eastAsia="仿宋_GB2312"/>
          <w:color w:val="auto"/>
          <w:sz w:val="32"/>
          <w:szCs w:val="32"/>
        </w:rPr>
        <w:t>单价100万元以上设备（不含车辆）0台（套）。</w:t>
      </w:r>
    </w:p>
    <w:p w14:paraId="5996FAF3">
      <w:pPr>
        <w:suppressAutoHyphens/>
        <w:spacing w:line="560" w:lineRule="exact"/>
        <w:ind w:firstLine="640"/>
        <w:rPr>
          <w:rFonts w:hint="eastAsia" w:ascii="仿宋" w:eastAsia="仿宋" w:cs="仿宋_GB2312"/>
          <w:b/>
          <w:kern w:val="2"/>
          <w:sz w:val="32"/>
          <w:szCs w:val="32"/>
        </w:rPr>
      </w:pPr>
      <w:r>
        <w:rPr>
          <w:rFonts w:hint="eastAsia" w:ascii="仿宋" w:eastAsia="仿宋" w:cs="仿宋_GB2312"/>
          <w:b/>
          <w:kern w:val="2"/>
          <w:sz w:val="32"/>
          <w:szCs w:val="32"/>
        </w:rPr>
        <w:t>（四）绩效目标设置情况</w:t>
      </w:r>
    </w:p>
    <w:p w14:paraId="2B7AD344">
      <w:pPr>
        <w:spacing w:line="580" w:lineRule="exact"/>
        <w:ind w:firstLine="640" w:firstLineChars="200"/>
        <w:rPr>
          <w:rFonts w:hint="eastAsia" w:ascii="仿宋_GB2312" w:eastAsia="仿宋_GB2312" w:cs="仿宋_GB2312"/>
          <w:kern w:val="2"/>
          <w:sz w:val="32"/>
          <w:szCs w:val="32"/>
        </w:rPr>
      </w:pPr>
      <w:r>
        <w:rPr>
          <w:rFonts w:hint="eastAsia" w:ascii="仿宋_GB2312" w:eastAsia="仿宋_GB2312" w:cs="仿宋_GB2312"/>
          <w:kern w:val="2"/>
          <w:sz w:val="32"/>
          <w:szCs w:val="32"/>
        </w:rPr>
        <w:t>2023年</w:t>
      </w:r>
      <w:r>
        <w:rPr>
          <w:rFonts w:hint="eastAsia" w:ascii="仿宋_GB2312" w:eastAsia="仿宋_GB2312" w:cs="仿宋_GB2312"/>
          <w:kern w:val="2"/>
          <w:sz w:val="32"/>
          <w:szCs w:val="32"/>
          <w:lang w:eastAsia="zh-Hans"/>
        </w:rPr>
        <w:t>市</w:t>
      </w:r>
      <w:r>
        <w:rPr>
          <w:rFonts w:hint="eastAsia" w:ascii="仿宋_GB2312" w:eastAsia="仿宋_GB2312" w:cs="仿宋_GB2312"/>
          <w:kern w:val="2"/>
          <w:sz w:val="32"/>
          <w:szCs w:val="32"/>
        </w:rPr>
        <w:t>白龙湖管理</w:t>
      </w:r>
      <w:r>
        <w:rPr>
          <w:rFonts w:hint="eastAsia" w:ascii="仿宋_GB2312" w:eastAsia="仿宋_GB2312" w:cs="仿宋_GB2312"/>
          <w:kern w:val="2"/>
          <w:sz w:val="32"/>
          <w:szCs w:val="32"/>
          <w:lang w:eastAsia="zh-Hans"/>
        </w:rPr>
        <w:t>局</w:t>
      </w:r>
      <w:r>
        <w:rPr>
          <w:rFonts w:hint="eastAsia" w:ascii="仿宋_GB2312" w:eastAsia="仿宋_GB2312" w:cs="仿宋_GB2312"/>
          <w:kern w:val="2"/>
          <w:sz w:val="32"/>
          <w:szCs w:val="32"/>
        </w:rPr>
        <w:t>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14:paraId="291CC6C0">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根据预算绩效管理要求，本部门在2023年度预算编制阶段，组织对</w:t>
      </w:r>
      <w:r>
        <w:rPr>
          <w:rFonts w:hint="eastAsia" w:ascii="仿宋_GB2312" w:eastAsia="仿宋_GB2312" w:cs="宋体"/>
          <w:sz w:val="32"/>
          <w:szCs w:val="32"/>
          <w:shd w:val="clear" w:color="auto" w:fill="FFFFFF"/>
        </w:rPr>
        <w:t>乡村振兴工作项目、白龙湖水上安全巡查和执法检查工作项目、白龙湖向上争取资金、招商引资工作项目、白龙湖亭子环境治理项目、白龙湖亭子湖宣传营销工作项目、</w:t>
      </w:r>
      <w:r>
        <w:rPr>
          <w:rFonts w:hint="eastAsia" w:ascii="仿宋_GB2312" w:eastAsia="仿宋_GB2312" w:cs="宋体"/>
          <w:sz w:val="32"/>
          <w:szCs w:val="32"/>
          <w:shd w:val="solid" w:color="FFFFFF" w:fill="FFFFFF"/>
        </w:rPr>
        <w:t>两湖”规划编制项目、</w:t>
      </w:r>
      <w:r>
        <w:rPr>
          <w:rFonts w:hint="eastAsia" w:ascii="仿宋_GB2312" w:eastAsia="仿宋_GB2312" w:cs="宋体"/>
          <w:sz w:val="32"/>
          <w:szCs w:val="32"/>
          <w:shd w:val="clear" w:color="auto" w:fill="FFFFFF"/>
        </w:rPr>
        <w:t>“两湖”水上安全应急救援演练项目、</w:t>
      </w:r>
      <w:r>
        <w:rPr>
          <w:rFonts w:hint="eastAsia" w:ascii="仿宋_GB2312" w:eastAsia="仿宋_GB2312" w:cs="仿宋_GB2312"/>
          <w:sz w:val="32"/>
          <w:szCs w:val="32"/>
        </w:rPr>
        <w:t>白龙湖总体规划评估报告</w:t>
      </w:r>
      <w:r>
        <w:rPr>
          <w:rFonts w:hint="eastAsia" w:ascii="仿宋_GB2312" w:eastAsia="仿宋_GB2312" w:cs="仿宋_GB2312"/>
          <w:color w:val="auto"/>
          <w:sz w:val="32"/>
          <w:szCs w:val="32"/>
        </w:rPr>
        <w:t>等8个项目开展了预算事前绩效评估，对8个项目编制了绩效目标，预算执行过程中，选取5个项目开展绩效监控。</w:t>
      </w:r>
    </w:p>
    <w:p w14:paraId="2943A9D0">
      <w:pPr>
        <w:suppressAutoHyphens/>
        <w:spacing w:line="560" w:lineRule="exact"/>
        <w:ind w:firstLine="640"/>
        <w:rPr>
          <w:rFonts w:hint="eastAsia" w:ascii="仿宋_GB2312" w:eastAsia="仿宋_GB2312" w:cs="Times New Roman"/>
          <w:b/>
          <w:kern w:val="2"/>
          <w:sz w:val="32"/>
          <w:szCs w:val="32"/>
        </w:rPr>
      </w:pPr>
      <w:r>
        <w:rPr>
          <w:rFonts w:hint="eastAsia" w:ascii="仿宋_GB2312" w:eastAsia="仿宋_GB2312" w:cs="仿宋_GB2312"/>
          <w:color w:val="auto"/>
          <w:sz w:val="32"/>
          <w:szCs w:val="32"/>
        </w:rPr>
        <w:t>组织对2023年度一般公共预算、政府性基金预算、国有资本经营预算、社会保险基金预算以及资本资产、债券资金等全面开展绩效自评，形成白龙湖管理局部门整体绩效自评报告、</w:t>
      </w:r>
      <w:r>
        <w:rPr>
          <w:rFonts w:hint="eastAsia" w:ascii="仿宋_GB2312" w:eastAsia="仿宋_GB2312" w:cs="仿宋_GB2312"/>
          <w:sz w:val="32"/>
          <w:szCs w:val="32"/>
        </w:rPr>
        <w:t>白龙湖总体规划评估</w:t>
      </w:r>
      <w:r>
        <w:rPr>
          <w:rFonts w:hint="eastAsia" w:ascii="仿宋_GB2312" w:eastAsia="仿宋_GB2312" w:cs="仿宋_GB2312"/>
          <w:color w:val="auto"/>
          <w:sz w:val="32"/>
          <w:szCs w:val="32"/>
        </w:rPr>
        <w:t>等专项预算项目绩效自评报告，绩效自评得分为97.2分，绩效自评综述：总体情况较好。绩效自评报告详见附件</w:t>
      </w:r>
    </w:p>
    <w:p w14:paraId="2F8217F0">
      <w:pPr>
        <w:pStyle w:val="29"/>
        <w:spacing w:line="576" w:lineRule="exact"/>
        <w:ind w:firstLine="0"/>
        <w:rPr>
          <w:rFonts w:hint="eastAsia" w:ascii="仿宋_GB2312" w:eastAsia="仿宋_GB2312"/>
          <w:b/>
          <w:szCs w:val="32"/>
        </w:rPr>
      </w:pPr>
    </w:p>
    <w:p w14:paraId="6C6F6E23">
      <w:pPr>
        <w:pStyle w:val="29"/>
        <w:spacing w:line="576" w:lineRule="exact"/>
        <w:ind w:firstLine="0"/>
        <w:rPr>
          <w:rFonts w:hint="eastAsia" w:ascii="仿宋_GB2312" w:eastAsia="仿宋_GB2312"/>
          <w:b/>
          <w:szCs w:val="32"/>
        </w:rPr>
      </w:pPr>
    </w:p>
    <w:p w14:paraId="40A09E6F">
      <w:pPr>
        <w:numPr>
          <w:ilvl w:val="0"/>
          <w:numId w:val="4"/>
        </w:numPr>
        <w:spacing w:line="576" w:lineRule="exact"/>
        <w:ind w:firstLine="660"/>
        <w:jc w:val="center"/>
        <w:outlineLvl w:val="0"/>
        <w:rPr>
          <w:rFonts w:hint="eastAsia" w:ascii="黑体" w:eastAsia="黑体" w:cs="Times New Roman"/>
          <w:kern w:val="2"/>
          <w:sz w:val="44"/>
          <w:szCs w:val="44"/>
        </w:rPr>
      </w:pPr>
      <w:bookmarkStart w:id="70" w:name="_Toc1347814969_WPSOffice_Level1"/>
      <w:bookmarkEnd w:id="70"/>
      <w:bookmarkStart w:id="71" w:name="_Toc15396613"/>
      <w:bookmarkEnd w:id="71"/>
      <w:bookmarkStart w:id="72" w:name="_Toc15377225"/>
      <w:bookmarkEnd w:id="72"/>
      <w:bookmarkStart w:id="73" w:name="_Toc441909400_WPSOffice_Level1"/>
      <w:bookmarkEnd w:id="73"/>
      <w:r>
        <w:rPr>
          <w:rFonts w:hint="eastAsia" w:ascii="黑体" w:eastAsia="黑体" w:cs="Times New Roman"/>
          <w:kern w:val="2"/>
          <w:sz w:val="44"/>
          <w:szCs w:val="44"/>
        </w:rPr>
        <w:t>名词解释</w:t>
      </w:r>
    </w:p>
    <w:p w14:paraId="6F62CD63">
      <w:pPr>
        <w:spacing w:line="576" w:lineRule="exact"/>
        <w:jc w:val="left"/>
        <w:rPr>
          <w:rFonts w:hint="eastAsia" w:ascii="宋体" w:cs="Times New Roman"/>
          <w:b/>
          <w:kern w:val="2"/>
          <w:sz w:val="44"/>
          <w:szCs w:val="44"/>
        </w:rPr>
      </w:pPr>
    </w:p>
    <w:p w14:paraId="7ECBCE5A">
      <w:pPr>
        <w:widowControl/>
        <w:spacing w:line="576" w:lineRule="exact"/>
        <w:ind w:firstLine="640"/>
        <w:jc w:val="left"/>
        <w:rPr>
          <w:rFonts w:hint="eastAsia" w:ascii="仿宋_GB2312" w:eastAsia="仿宋_GB2312" w:cs="仿宋_GB2312"/>
          <w:kern w:val="2"/>
          <w:sz w:val="32"/>
          <w:szCs w:val="32"/>
        </w:rPr>
      </w:pPr>
      <w:bookmarkStart w:id="74" w:name="_Toc15377226"/>
      <w:bookmarkEnd w:id="74"/>
      <w:bookmarkStart w:id="75" w:name="_Toc15396614"/>
      <w:bookmarkEnd w:id="75"/>
      <w:r>
        <w:rPr>
          <w:rFonts w:hint="eastAsia" w:ascii="仿宋_GB2312" w:eastAsia="仿宋_GB2312" w:cs="仿宋_GB2312"/>
          <w:b/>
          <w:kern w:val="2"/>
          <w:sz w:val="32"/>
          <w:szCs w:val="32"/>
        </w:rPr>
        <w:t>1.财政拨款收入：</w:t>
      </w:r>
      <w:r>
        <w:rPr>
          <w:rFonts w:hint="eastAsia" w:ascii="仿宋_GB2312" w:eastAsia="仿宋_GB2312" w:cs="仿宋_GB2312"/>
          <w:kern w:val="2"/>
          <w:sz w:val="32"/>
          <w:szCs w:val="32"/>
        </w:rPr>
        <w:t>指单位从同级财政部门取得的财政预算资金。</w:t>
      </w:r>
    </w:p>
    <w:p w14:paraId="23157B31">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2.年初结转和结余：</w:t>
      </w:r>
      <w:r>
        <w:rPr>
          <w:rFonts w:hint="eastAsia" w:ascii="仿宋_GB2312" w:eastAsia="仿宋_GB2312" w:cs="仿宋_GB2312"/>
          <w:kern w:val="2"/>
          <w:sz w:val="32"/>
          <w:szCs w:val="32"/>
        </w:rPr>
        <w:t>指以前年度尚未完成、结转到本年按有关规定继续使用的资金。</w:t>
      </w:r>
    </w:p>
    <w:p w14:paraId="3C1B8821">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4.社会保障和就业(类)行政事业单位离退休（款）机关事业单位基本养老保险缴费支出（项）:</w:t>
      </w:r>
      <w:r>
        <w:rPr>
          <w:rFonts w:hint="eastAsia" w:ascii="仿宋_GB2312" w:eastAsia="仿宋_GB2312" w:cs="仿宋_GB2312"/>
          <w:kern w:val="2"/>
          <w:sz w:val="32"/>
          <w:szCs w:val="32"/>
        </w:rPr>
        <w:t>指反映机关事业单位实施养老保险制度由单位实际缴纳的养老保险支出。</w:t>
      </w:r>
    </w:p>
    <w:p w14:paraId="6F4D74D0">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5.社会保障和就业(类)行政事业单位离退休（款）机关事业单位职业年金缴费支出（项）:</w:t>
      </w:r>
      <w:r>
        <w:rPr>
          <w:rFonts w:hint="eastAsia" w:ascii="仿宋_GB2312" w:eastAsia="仿宋_GB2312" w:cs="仿宋_GB2312"/>
          <w:kern w:val="2"/>
          <w:sz w:val="32"/>
          <w:szCs w:val="32"/>
        </w:rPr>
        <w:t>指反映机关事业单位实施养老保险制度由单位实际缴纳的职业年金支出。</w:t>
      </w:r>
    </w:p>
    <w:p w14:paraId="338F831C">
      <w:pPr>
        <w:pStyle w:val="29"/>
        <w:rPr>
          <w:rFonts w:hint="eastAsia" w:ascii="仿宋_GB2312" w:eastAsia="仿宋_GB2312" w:cs="仿宋_GB2312"/>
          <w:szCs w:val="32"/>
        </w:rPr>
      </w:pPr>
      <w:r>
        <w:rPr>
          <w:rFonts w:hint="eastAsia" w:ascii="仿宋_GB2312" w:eastAsia="仿宋_GB2312" w:cs="仿宋_GB2312"/>
          <w:b/>
          <w:szCs w:val="32"/>
        </w:rPr>
        <w:t>6.社会保障和就业(类)其他社会保障和就业支出（款）其他社会保障和就业支出（项）:</w:t>
      </w:r>
      <w:r>
        <w:rPr>
          <w:rFonts w:hint="eastAsia" w:ascii="仿宋_GB2312" w:eastAsia="仿宋_GB2312" w:cs="仿宋_GB2312"/>
          <w:szCs w:val="32"/>
        </w:rPr>
        <w:t>指反映机关事业单位实施独生子女奖金制度由单位实际支出的退休人员一次性独生子女奖励金。</w:t>
      </w:r>
    </w:p>
    <w:p w14:paraId="6CE764A8">
      <w:pPr>
        <w:pStyle w:val="2"/>
        <w:rPr>
          <w:rFonts w:hint="eastAsia" w:hAnsi="Times New Roman" w:cs="仿宋_GB2312"/>
          <w:kern w:val="2"/>
          <w:sz w:val="32"/>
          <w:szCs w:val="32"/>
        </w:rPr>
      </w:pPr>
      <w:r>
        <w:rPr>
          <w:rFonts w:hint="eastAsia" w:hAnsi="Times New Roman" w:cs="仿宋_GB2312"/>
          <w:b/>
          <w:kern w:val="2"/>
          <w:sz w:val="32"/>
          <w:szCs w:val="32"/>
        </w:rPr>
        <w:t>7.社会保障和就业(类)抚恤（款）死亡抚恤（项）:</w:t>
      </w:r>
      <w:r>
        <w:rPr>
          <w:rFonts w:hint="eastAsia" w:hAnsi="Times New Roman" w:cs="仿宋_GB2312"/>
          <w:kern w:val="2"/>
          <w:sz w:val="32"/>
          <w:szCs w:val="32"/>
        </w:rPr>
        <w:t>指单位人员死亡一次性抚恤金。</w:t>
      </w:r>
    </w:p>
    <w:p w14:paraId="315A38D0">
      <w:pPr>
        <w:pStyle w:val="2"/>
        <w:rPr>
          <w:rFonts w:hint="eastAsia" w:hAnsi="Times New Roman" w:cs="仿宋_GB2312"/>
          <w:kern w:val="2"/>
          <w:sz w:val="32"/>
          <w:szCs w:val="32"/>
        </w:rPr>
      </w:pPr>
      <w:r>
        <w:rPr>
          <w:rFonts w:hint="eastAsia" w:hAnsi="Times New Roman" w:cs="仿宋_GB2312"/>
          <w:b/>
          <w:kern w:val="2"/>
          <w:sz w:val="32"/>
          <w:szCs w:val="32"/>
        </w:rPr>
        <w:t>8.节能环保支出(类)污染防治（款） 水体（项）:</w:t>
      </w:r>
      <w:r>
        <w:rPr>
          <w:rFonts w:hint="eastAsia" w:hAnsi="Times New Roman" w:cs="仿宋_GB2312"/>
          <w:kern w:val="2"/>
          <w:sz w:val="32"/>
          <w:szCs w:val="32"/>
        </w:rPr>
        <w:t>指上年结转项目，结转到本年继续使用。</w:t>
      </w:r>
    </w:p>
    <w:p w14:paraId="60D05193">
      <w:pPr>
        <w:pStyle w:val="2"/>
        <w:rPr>
          <w:rFonts w:hint="eastAsia" w:hAnsi="Times New Roman" w:cs="仿宋_GB2312"/>
          <w:bCs/>
          <w:kern w:val="2"/>
          <w:sz w:val="32"/>
          <w:szCs w:val="32"/>
        </w:rPr>
      </w:pPr>
      <w:r>
        <w:rPr>
          <w:rFonts w:hint="eastAsia" w:hAnsi="Times New Roman" w:cs="仿宋_GB2312"/>
          <w:b/>
          <w:kern w:val="2"/>
          <w:sz w:val="32"/>
          <w:szCs w:val="32"/>
        </w:rPr>
        <w:t>9.节能环保支出(类）自然生态保护（款）其它自然生态保护支出（项）:</w:t>
      </w:r>
      <w:r>
        <w:rPr>
          <w:rFonts w:hint="eastAsia" w:hAnsi="Times New Roman" w:cs="仿宋_GB2312"/>
          <w:bCs/>
          <w:kern w:val="2"/>
          <w:sz w:val="32"/>
          <w:szCs w:val="32"/>
        </w:rPr>
        <w:t>指“白龙湖总体规划项目”支出，反应该项目支付第一笔预付款。</w:t>
      </w:r>
    </w:p>
    <w:p w14:paraId="698DD9D7">
      <w:pPr>
        <w:widowControl/>
        <w:spacing w:line="576" w:lineRule="exact"/>
        <w:ind w:firstLine="640"/>
        <w:jc w:val="left"/>
        <w:rPr>
          <w:rFonts w:hint="eastAsia" w:ascii="仿宋_GB2312" w:hAnsi="Times New Roman" w:eastAsia="仿宋_GB2312" w:cs="仿宋_GB2312"/>
          <w:bCs/>
          <w:kern w:val="2"/>
          <w:sz w:val="32"/>
          <w:szCs w:val="32"/>
        </w:rPr>
      </w:pPr>
      <w:r>
        <w:rPr>
          <w:rFonts w:hint="eastAsia" w:ascii="仿宋_GB2312" w:hAnsi="Times New Roman" w:eastAsia="仿宋_GB2312" w:cs="仿宋_GB2312"/>
          <w:b/>
          <w:kern w:val="2"/>
          <w:sz w:val="32"/>
          <w:szCs w:val="32"/>
        </w:rPr>
        <w:t>10.节能环保支出(类）自然生态保护（款）其它节能环保支出（项）:</w:t>
      </w:r>
      <w:r>
        <w:rPr>
          <w:rFonts w:hint="eastAsia" w:ascii="仿宋_GB2312" w:hAnsi="Times New Roman" w:eastAsia="仿宋_GB2312" w:cs="仿宋_GB2312"/>
          <w:bCs/>
          <w:kern w:val="2"/>
          <w:sz w:val="32"/>
          <w:szCs w:val="32"/>
        </w:rPr>
        <w:t>“白龙湖详规修改报批项目”支出，反应该项目尾款支付。</w:t>
      </w:r>
    </w:p>
    <w:p w14:paraId="7F29A524">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11.医疗卫生与计划生育支出（类）行政事业单位医疗（款）行政单位医疗（项）:</w:t>
      </w:r>
      <w:r>
        <w:rPr>
          <w:rFonts w:hint="eastAsia" w:ascii="仿宋_GB2312" w:eastAsia="仿宋_GB2312" w:cs="仿宋_GB2312"/>
          <w:kern w:val="2"/>
          <w:sz w:val="32"/>
          <w:szCs w:val="32"/>
        </w:rPr>
        <w:t>指反映财政部门集中安排的行政单位基本医疗保险缴费经费，未参加医疗保险的行政单位的公费医疗经费，按国家规定享受离休人员、红军老战士待遇人员的医疗经费。</w:t>
      </w:r>
    </w:p>
    <w:p w14:paraId="33ADA802">
      <w:pPr>
        <w:pStyle w:val="2"/>
        <w:rPr>
          <w:rFonts w:cs="仿宋_GB2312"/>
          <w:kern w:val="2"/>
          <w:sz w:val="32"/>
          <w:szCs w:val="32"/>
          <w:highlight w:val="yellow"/>
        </w:rPr>
      </w:pPr>
    </w:p>
    <w:p w14:paraId="319C6B8A">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12.城乡社区支出（类）城乡社区规划与管理（款）城乡社区规划与管理（项）:</w:t>
      </w:r>
      <w:r>
        <w:rPr>
          <w:rFonts w:hint="eastAsia" w:ascii="仿宋_GB2312" w:eastAsia="仿宋_GB2312" w:cs="仿宋_GB2312"/>
          <w:kern w:val="2"/>
          <w:sz w:val="32"/>
          <w:szCs w:val="32"/>
        </w:rPr>
        <w:t>指城乡社区、名胜风景区、防灾减灾、历史名城规划制定与管理等方面的支出。</w:t>
      </w:r>
    </w:p>
    <w:p w14:paraId="28DBA2A7">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13.住房保障支出（类）住房改革支出（款）住房公积金（项）：</w:t>
      </w:r>
      <w:r>
        <w:rPr>
          <w:rFonts w:hint="eastAsia" w:ascii="仿宋_GB2312" w:eastAsia="仿宋_GB2312" w:cs="仿宋_GB2312"/>
          <w:kern w:val="2"/>
          <w:sz w:val="32"/>
          <w:szCs w:val="32"/>
        </w:rPr>
        <w:t>指反映行政事业单位按人力资源和社会保障部、财政部规定的基本工资和津贴补贴以及规定比例为职工缴纳的住房公积金。</w:t>
      </w:r>
    </w:p>
    <w:p w14:paraId="13153B85">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14.基本支出：</w:t>
      </w:r>
      <w:r>
        <w:rPr>
          <w:rFonts w:hint="eastAsia" w:ascii="仿宋_GB2312" w:eastAsia="仿宋_GB2312" w:cs="仿宋_GB2312"/>
          <w:kern w:val="2"/>
          <w:sz w:val="32"/>
          <w:szCs w:val="32"/>
        </w:rPr>
        <w:t>指为保障机构正常运转、完成日常工作任务而发生的人员支出和公用支出。</w:t>
      </w:r>
    </w:p>
    <w:p w14:paraId="0920D68F">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15.项目支出：</w:t>
      </w:r>
      <w:r>
        <w:rPr>
          <w:rFonts w:hint="eastAsia" w:ascii="仿宋_GB2312" w:eastAsia="仿宋_GB2312" w:cs="仿宋_GB2312"/>
          <w:kern w:val="2"/>
          <w:sz w:val="32"/>
          <w:szCs w:val="32"/>
        </w:rPr>
        <w:t>指在基本支出之外为完成特定行政任务和事业发展目标所发生的支出。</w:t>
      </w:r>
    </w:p>
    <w:p w14:paraId="1385794E">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16.“三公”经费：</w:t>
      </w:r>
      <w:r>
        <w:rPr>
          <w:rFonts w:hint="eastAsia" w:ascii="仿宋_GB2312" w:eastAsia="仿宋_GB2312" w:cs="仿宋_GB2312"/>
          <w:kern w:val="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E61651D">
      <w:pPr>
        <w:widowControl/>
        <w:spacing w:line="576" w:lineRule="exact"/>
        <w:ind w:firstLine="640"/>
        <w:jc w:val="left"/>
        <w:rPr>
          <w:rFonts w:hint="eastAsia" w:ascii="仿宋_GB2312" w:eastAsia="仿宋_GB2312" w:cs="仿宋_GB2312"/>
          <w:kern w:val="2"/>
          <w:sz w:val="32"/>
          <w:szCs w:val="32"/>
        </w:rPr>
      </w:pPr>
      <w:r>
        <w:rPr>
          <w:rFonts w:hint="eastAsia" w:ascii="仿宋_GB2312" w:eastAsia="仿宋_GB2312" w:cs="仿宋_GB2312"/>
          <w:b/>
          <w:kern w:val="2"/>
          <w:sz w:val="32"/>
          <w:szCs w:val="32"/>
        </w:rPr>
        <w:t>17.机关运行经费：</w:t>
      </w:r>
      <w:r>
        <w:rPr>
          <w:rFonts w:hint="eastAsia" w:ascii="仿宋_GB2312" w:eastAsia="仿宋_GB2312" w:cs="仿宋_GB2312"/>
          <w:kern w:val="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62F2EE">
      <w:pPr>
        <w:spacing w:line="576" w:lineRule="exact"/>
        <w:jc w:val="center"/>
        <w:outlineLvl w:val="0"/>
        <w:rPr>
          <w:rFonts w:hint="eastAsia" w:ascii="黑体" w:eastAsia="黑体" w:cs="Times New Roman"/>
          <w:kern w:val="2"/>
          <w:sz w:val="44"/>
          <w:szCs w:val="44"/>
        </w:rPr>
      </w:pPr>
    </w:p>
    <w:p w14:paraId="17CC156A">
      <w:pPr>
        <w:spacing w:line="576" w:lineRule="exact"/>
        <w:jc w:val="center"/>
        <w:outlineLvl w:val="0"/>
        <w:rPr>
          <w:rFonts w:hint="eastAsia" w:ascii="黑体" w:eastAsia="黑体" w:cs="Times New Roman"/>
          <w:kern w:val="2"/>
          <w:sz w:val="44"/>
          <w:szCs w:val="44"/>
        </w:rPr>
      </w:pPr>
    </w:p>
    <w:p w14:paraId="05331C73">
      <w:pPr>
        <w:spacing w:line="576" w:lineRule="exact"/>
        <w:outlineLvl w:val="0"/>
        <w:rPr>
          <w:rFonts w:hint="eastAsia" w:ascii="黑体" w:eastAsia="黑体" w:cs="Times New Roman"/>
          <w:kern w:val="2"/>
          <w:sz w:val="44"/>
          <w:szCs w:val="44"/>
        </w:rPr>
      </w:pPr>
    </w:p>
    <w:p w14:paraId="65AEAC35">
      <w:pPr>
        <w:pStyle w:val="29"/>
      </w:pPr>
    </w:p>
    <w:p w14:paraId="78E0CC22">
      <w:pPr>
        <w:spacing w:line="576" w:lineRule="exact"/>
        <w:jc w:val="center"/>
        <w:outlineLvl w:val="0"/>
        <w:rPr>
          <w:rFonts w:hint="eastAsia" w:ascii="黑体" w:eastAsia="黑体" w:cs="Times New Roman"/>
          <w:kern w:val="2"/>
          <w:sz w:val="44"/>
          <w:szCs w:val="44"/>
        </w:rPr>
      </w:pPr>
      <w:bookmarkStart w:id="76" w:name="_Toc491510504_WPSOffice_Level1"/>
      <w:bookmarkEnd w:id="76"/>
      <w:bookmarkStart w:id="77" w:name="_Toc2086874520_WPSOffice_Level1"/>
      <w:bookmarkEnd w:id="77"/>
      <w:r>
        <w:rPr>
          <w:rFonts w:hint="eastAsia" w:ascii="黑体" w:eastAsia="黑体" w:cs="Times New Roman"/>
          <w:kern w:val="2"/>
          <w:sz w:val="44"/>
          <w:szCs w:val="44"/>
        </w:rPr>
        <w:t>第四部分 附件</w:t>
      </w:r>
    </w:p>
    <w:p w14:paraId="69CFC02C">
      <w:pPr>
        <w:spacing w:line="576" w:lineRule="exact"/>
        <w:jc w:val="left"/>
        <w:outlineLvl w:val="0"/>
        <w:rPr>
          <w:rFonts w:hint="eastAsia" w:ascii="方正小标宋简体" w:eastAsia="方正小标宋简体" w:cs="方正小标宋简体"/>
          <w:kern w:val="2"/>
          <w:sz w:val="44"/>
          <w:szCs w:val="44"/>
        </w:rPr>
      </w:pPr>
      <w:r>
        <w:rPr>
          <w:rFonts w:hint="eastAsia" w:ascii="黑体" w:eastAsia="黑体" w:cs="黑体"/>
          <w:kern w:val="2"/>
          <w:sz w:val="32"/>
          <w:szCs w:val="32"/>
        </w:rPr>
        <w:t>附件</w:t>
      </w:r>
    </w:p>
    <w:p w14:paraId="24C4B41C">
      <w:pPr>
        <w:widowControl/>
        <w:spacing w:line="58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广元市白龙湖风景名胜区管理局</w:t>
      </w:r>
    </w:p>
    <w:p w14:paraId="169F6F38">
      <w:pPr>
        <w:widowControl/>
        <w:spacing w:line="580" w:lineRule="exact"/>
        <w:contextualSpacing/>
        <w:jc w:val="center"/>
        <w:rPr>
          <w:rFonts w:hint="eastAsia" w:ascii="方正小标宋简体" w:eastAsia="方正小标宋简体" w:cs="方正小标宋简体"/>
          <w:bCs/>
          <w:sz w:val="44"/>
          <w:szCs w:val="44"/>
          <w:shd w:val="clear" w:color="auto" w:fill="FFFFFF"/>
        </w:rPr>
      </w:pPr>
      <w:r>
        <w:rPr>
          <w:rFonts w:hint="eastAsia" w:ascii="方正小标宋简体" w:eastAsia="方正小标宋简体" w:cs="方正小标宋简体"/>
          <w:bCs/>
          <w:sz w:val="44"/>
          <w:szCs w:val="44"/>
          <w:shd w:val="clear" w:color="auto" w:fill="FFFFFF"/>
        </w:rPr>
        <w:t>2023年市级部门整体支出绩效评价报告</w:t>
      </w:r>
    </w:p>
    <w:p w14:paraId="6A2C9946">
      <w:pPr>
        <w:widowControl/>
        <w:adjustRightInd w:val="0"/>
        <w:snapToGrid w:val="0"/>
        <w:spacing w:line="580" w:lineRule="exact"/>
        <w:ind w:firstLine="480" w:firstLineChars="200"/>
        <w:contextualSpacing/>
        <w:jc w:val="left"/>
        <w:rPr>
          <w:rFonts w:hint="eastAsia" w:ascii="黑体" w:eastAsia="黑体" w:cs="宋体"/>
          <w:sz w:val="24"/>
          <w:szCs w:val="32"/>
          <w:shd w:val="clear" w:color="auto" w:fill="FFFFFF"/>
        </w:rPr>
      </w:pPr>
    </w:p>
    <w:p w14:paraId="3BB46D8F">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rPr>
        <w:t>一、</w:t>
      </w:r>
      <w:r>
        <w:rPr>
          <w:rFonts w:hint="eastAsia" w:ascii="仿宋_GB2312" w:eastAsia="仿宋_GB2312" w:cs="仿宋_GB2312"/>
          <w:sz w:val="32"/>
          <w:szCs w:val="32"/>
          <w:shd w:val="clear" w:color="auto" w:fill="FFFFFF"/>
          <w:lang w:val="zh-CN"/>
        </w:rPr>
        <w:t>部门基本概况</w:t>
      </w:r>
    </w:p>
    <w:p w14:paraId="5F633A18">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（一）机构组成</w:t>
      </w:r>
    </w:p>
    <w:p w14:paraId="2A19D873">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rPr>
        <w:t>市白龙湖管理局成立于1997年，是市政府直属参公管理事业单位，2014年底，将亭子口湖区划归我局管理，重新调整了机构编制方案，核定内设科室7个，人员编制22名。我单位无下属二级单位。</w:t>
      </w:r>
    </w:p>
    <w:p w14:paraId="5598BD2C">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（二）机构职能</w:t>
      </w:r>
    </w:p>
    <w:p w14:paraId="7E107568">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是宣传贯彻国家有关风景名胜、城乡规划、林业、水资源、国土资源、环境保护、旅游、民族、宗教、文物、安全等法律法规。二是拟订白龙湖亭子湖总体规划、控制性详细规划；审核体量大的单体规划。三是参与白龙湖亭子湖建设项目环评工作；指导、监督有关县区完善白龙湖亭子湖环境保护基础设施建设。四是审核白龙湖亭子湖重大产业项目规划；审核相关重大旅游项目开发建设和宣传营销方案，协助白龙湖亭子湖重大旅游宣传营销活动。五是负责白龙湖亭子湖管理、保护和开发利用的统筹协调、业务指导、监督考核等具体工作。六是审核涉及白龙湖亭子湖辖区内以市行业主管部门上报或落实的重大事项；协调白龙湖亭子湖辖区内建设项目和资金的申报（转报)。七是白龙湖亭子湖辖区内城建、国土、环保、林业、交通、旅游、文化、体育、安全等行政执法职责，依法委托给有关县区行使。八承担广元市白龙湖亭子湖管理领导小组的具体工作。</w:t>
      </w:r>
    </w:p>
    <w:p w14:paraId="195699E1">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（三）人员概况</w:t>
      </w:r>
    </w:p>
    <w:p w14:paraId="5E1A9317">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截止2023年末，我单位在岗人员</w:t>
      </w:r>
      <w:r>
        <w:rPr>
          <w:rFonts w:hint="eastAsia" w:ascii="仿宋_GB2312" w:eastAsia="仿宋_GB2312" w:cs="仿宋_GB2312"/>
          <w:sz w:val="32"/>
          <w:szCs w:val="32"/>
          <w:shd w:val="clear" w:color="auto" w:fill="FFFFFF"/>
        </w:rPr>
        <w:t>20名，包括17名参公编制人员和3名工勤编制人员。我单位无下属二级单位。</w:t>
      </w:r>
    </w:p>
    <w:p w14:paraId="1ADCBF7B">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二、部门资金收支情况</w:t>
      </w:r>
    </w:p>
    <w:p w14:paraId="723B4FD0">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（一）收入情况</w:t>
      </w:r>
    </w:p>
    <w:p w14:paraId="5FDFF8F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市白龙湖管理局2023年年初预算收入437.04万元，决算报表收入599.36万元。</w:t>
      </w:r>
    </w:p>
    <w:p w14:paraId="4689EA53">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（二）支出情况</w:t>
      </w:r>
    </w:p>
    <w:p w14:paraId="4C1F78E6">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市白龙湖管理局2023年年初预算支出437.04万元，决算报表支出599.36。</w:t>
      </w:r>
    </w:p>
    <w:p w14:paraId="22469359">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（三）结转结余情况</w:t>
      </w:r>
    </w:p>
    <w:p w14:paraId="3B1A04BD">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rPr>
        <w:t>市白龙湖管理局2023年决算报表结转结余24.35万元。</w:t>
      </w:r>
    </w:p>
    <w:p w14:paraId="4D8635A4">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三、部门预算绩效分析</w:t>
      </w:r>
    </w:p>
    <w:p w14:paraId="328EF732">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部门预算总体绩效分析</w:t>
      </w:r>
    </w:p>
    <w:p w14:paraId="61192CDD">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1.履职能效</w:t>
      </w:r>
    </w:p>
    <w:p w14:paraId="63D71ABF">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（1）乡村振兴工作项目：完成了乡村振兴帮扶工作，达到因地制宜发展增收致富产业，争取花椒苗种5000株以上，全面改善生产生活条件，完成了乡村振兴年度目标任务。预算金额1.82万元，支出金额1.82万元。</w:t>
      </w:r>
    </w:p>
    <w:p w14:paraId="4139E4F5">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（2）白龙湖水上安全巡查和执法检查工作项目：任务指标开展水上应急安全演练2次，联合执法行动和安全检查2次。预算金额3万元，支出金额3万元。</w:t>
      </w:r>
    </w:p>
    <w:p w14:paraId="6F545F18">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（3）白龙湖向上争取资金、招商引资工作项目：通过到省、到京对接项目工作、外出考察、接待商客，完成向上争取资金650万元。预算金额8万元，支出金额8万元。</w:t>
      </w:r>
    </w:p>
    <w:p w14:paraId="6494B130">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（4）白龙湖亭子环境治理项目：打捞湖面垃圾50吨以上。预算金额8.35万元，支出金额8.35万元。</w:t>
      </w:r>
    </w:p>
    <w:p w14:paraId="0F485EB5">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（5）白龙湖亭子湖宣传营销工作项目：任务指标开展、参与宣传活动2次，制作导览图、宣传折页1000册。预算金额14.18万元，支出金额14.18万元。</w:t>
      </w:r>
    </w:p>
    <w:p w14:paraId="6AE1D31D">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6）“两湖”规划编制项目经费：任务指标“两湖”建设项目审查及现场选址勘查、白龙湖项目省林草局审批评审，亭子湖旅游规划编制、白龙湖总体规划修编论证、评估、报批等工作实施，有效加强白龙湖亭子湖项目建设的规划管控力度，确保景区资源的保护和合理开发利用，降低各类建设、旅游活动对风景区环境的不利影响，促进“两湖”可持续发展。预算金额4万元，支出金额4万元。</w:t>
      </w:r>
    </w:p>
    <w:p w14:paraId="745B7000">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7）“两湖”水上安全应急救援演练项目：任务指标通过开展水上应急安全演练，进一步增强市、县（区）、乡镇单位之间的协同配合、科学施救能力和水平，确保“两湖”人民群众生命和财产安全。预算10万元，支出10万元。</w:t>
      </w:r>
    </w:p>
    <w:p w14:paraId="19970D96">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（8）白龙湖总体规划评估报告：任务指标对白龙湖总体规划进行评估，做出重新编制规划的决定。预算金额70万元，支出金额16.44万元，结余53.56万元，该项目实施周期为两年。</w:t>
      </w:r>
    </w:p>
    <w:p w14:paraId="2509306F">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2.预算管理</w:t>
      </w:r>
    </w:p>
    <w:p w14:paraId="5341C7F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2023年</w:t>
      </w:r>
      <w:r>
        <w:rPr>
          <w:rFonts w:hint="eastAsia" w:ascii="仿宋_GB2312" w:eastAsia="仿宋_GB2312" w:cs="仿宋_GB2312"/>
          <w:sz w:val="32"/>
          <w:szCs w:val="32"/>
          <w:shd w:val="clear" w:color="auto" w:fill="FFFFFF"/>
          <w:lang w:val="zh-CN"/>
        </w:rPr>
        <w:t>预算编制要素完整，各项指标细化量化，预算编制纳入部门党组会集体决策。</w:t>
      </w:r>
      <w:r>
        <w:rPr>
          <w:rFonts w:hint="eastAsia" w:ascii="仿宋_GB2312" w:eastAsia="仿宋_GB2312" w:cs="仿宋_GB2312"/>
          <w:sz w:val="32"/>
          <w:szCs w:val="32"/>
          <w:shd w:val="clear" w:color="auto" w:fill="FFFFFF"/>
        </w:rPr>
        <w:t>专项资金项目，白龙湖总体规划评估报告，年终资金结余53.56万元，结余率76.51%。预算内项目，我局2023年6月执行进度达到40%，9月份执行进度达到62.5%、11月份执行进度为80.5%。专项项目实施周期为2年且资金下达时间较晚,部分项目资金尚未支付。2023年办公费、印刷费、水费、电费、物业管理费共计支出17.5万元。较2022年度此类支出的21.5元减少了3.98元，同比减少了18.5%。</w:t>
      </w:r>
    </w:p>
    <w:p w14:paraId="583CD412">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3.财务管理</w:t>
      </w:r>
    </w:p>
    <w:p w14:paraId="5981CD6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为加强和规范机关财务管理，健全财务制度，严肃财经纪律，杜绝违纪违规行为，根据《党政机关厉行节约反对浪费条例》，财政部《行政单位财务规则》《事业单位财务规则》等法律法规和巡视巡察反馈问题整改要求，参照省市财务管理相关规定，结合单位实际，我局制定了《机关财务管理制度》。资金使用符合相关财务管理制度规定，财务岗位设置符合要求，项目实施单位财务管理制度健全，严格执行财务管理制度，账务处理及时，会计核算规范。</w:t>
      </w:r>
    </w:p>
    <w:p w14:paraId="13ACCA01">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4.资产管理</w:t>
      </w:r>
    </w:p>
    <w:p w14:paraId="54DA11F1">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我单位固定资产为96.8万元，其中专用设备8.1万元，通用设备72.3万元，家具用具16.36万元。2023年底我单位人数20人，人均资产占有4.84万元。资产利用率100%、资产盘活率100%。我单位无闲置一年以上的资产，资产都处于使用状态。</w:t>
      </w:r>
    </w:p>
    <w:p w14:paraId="7B1F7BEE">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5.采购管理</w:t>
      </w:r>
    </w:p>
    <w:p w14:paraId="50EC779C">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2023年我单位政府采购项目有“打印纸张采购”采购金额为0.8万元，采购支付为一次性付清。“白龙湖总规评估”服务项目，采购金额为54.8万元，采购支付为分期付款。我单位严格执行政府采购促进中小企业发展,预留采购份额专门面向中小企业采购,并在采购预算中单独列示。</w:t>
      </w:r>
    </w:p>
    <w:p w14:paraId="098363D2">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（二）部门预算项目绩效分析</w:t>
      </w:r>
    </w:p>
    <w:p w14:paraId="6037A064">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项目共计8个部门预算项目，其中1个专项项目，涉及预算总金额119.35万元，1-12月预算执行总体进度87.5%，绩效目标任务全部圆满完成。专项项目资金，白龙湖总体规划评估报告项目年初预算70万元，年终结余53.56万元，结余率为76.5%。</w:t>
      </w:r>
    </w:p>
    <w:p w14:paraId="28C23024">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（三）重点领域绩效分析</w:t>
      </w:r>
    </w:p>
    <w:p w14:paraId="3650BE2A">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我单位2023年不涉及国有资本、行政事业国有资产、债券资金等重点领域。</w:t>
      </w:r>
    </w:p>
    <w:p w14:paraId="045B4025">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（四）绩效结果应用情况</w:t>
      </w:r>
    </w:p>
    <w:p w14:paraId="171CEDBF">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内部应用情况;我局无下属单位，不涉及此项。信息公开情况：按要求将绩效评价情况在机关门户网站公开。整改反馈情况：针对绩效管理过程中（包括绩效目标核查，绩效监控核查和重点绩效评价）提出的问题及时进行整改，完善政策改善管理，提高预算资金使用率。</w:t>
      </w:r>
    </w:p>
    <w:p w14:paraId="3C452079">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四、评价结论及建议</w:t>
      </w:r>
    </w:p>
    <w:p w14:paraId="4E5FA613">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（一）评价结论</w:t>
      </w:r>
    </w:p>
    <w:p w14:paraId="72B24821">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zh-CN"/>
        </w:rPr>
        <w:t>我局</w:t>
      </w:r>
      <w:r>
        <w:rPr>
          <w:rFonts w:hint="eastAsia" w:ascii="仿宋_GB2312" w:eastAsia="仿宋_GB2312" w:cs="仿宋_GB2312"/>
          <w:sz w:val="32"/>
          <w:szCs w:val="32"/>
          <w:shd w:val="clear" w:color="auto" w:fill="FFFFFF"/>
        </w:rPr>
        <w:t>2023年部门整体支出绩效评价得分为97.2分，总体情况较好。</w:t>
      </w:r>
    </w:p>
    <w:p w14:paraId="05674CFD">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（二）存在问题</w:t>
      </w:r>
    </w:p>
    <w:p w14:paraId="715BA97A">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zh-CN"/>
        </w:rPr>
        <w:t>预算执行进度较慢</w:t>
      </w:r>
      <w:r>
        <w:rPr>
          <w:rFonts w:hint="eastAsia" w:ascii="仿宋_GB2312" w:eastAsia="仿宋_GB2312" w:cs="仿宋_GB2312"/>
          <w:sz w:val="32"/>
          <w:szCs w:val="32"/>
          <w:shd w:val="clear" w:color="auto" w:fill="FFFFFF"/>
        </w:rPr>
        <w:t>，且专项项目实施周期为2年，未能在本年内完成支付。</w:t>
      </w:r>
    </w:p>
    <w:p w14:paraId="4B3F64E2">
      <w:pPr>
        <w:widowControl/>
        <w:spacing w:line="576" w:lineRule="exact"/>
        <w:ind w:firstLine="640"/>
        <w:contextualSpacing/>
        <w:jc w:val="left"/>
        <w:rPr>
          <w:rFonts w:hint="eastAsia" w:ascii="仿宋_GB2312" w:eastAsia="仿宋_GB2312" w:cs="仿宋_GB2312"/>
          <w:sz w:val="32"/>
          <w:szCs w:val="32"/>
          <w:shd w:val="clear" w:color="auto" w:fill="FFFFFF"/>
          <w:lang w:val="zh-CN"/>
        </w:rPr>
      </w:pPr>
      <w:r>
        <w:rPr>
          <w:rFonts w:hint="eastAsia" w:ascii="仿宋_GB2312" w:eastAsia="仿宋_GB2312" w:cs="仿宋_GB2312"/>
          <w:sz w:val="32"/>
          <w:szCs w:val="32"/>
          <w:shd w:val="clear" w:color="auto" w:fill="FFFFFF"/>
          <w:lang w:val="zh-CN"/>
        </w:rPr>
        <w:t>（三）改进建议</w:t>
      </w:r>
    </w:p>
    <w:p w14:paraId="144732EB">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在今后的预算执行过程中，将加强对资金申请、支付过程的督促，及时完成资金支付，加快预算执行进度，确保资金使用效率。</w:t>
      </w:r>
    </w:p>
    <w:p w14:paraId="0354BFCF">
      <w:pPr>
        <w:pStyle w:val="2"/>
        <w:rPr>
          <w:rFonts w:hint="eastAsia"/>
        </w:rPr>
      </w:pPr>
    </w:p>
    <w:p w14:paraId="75878BC9">
      <w:pPr>
        <w:pStyle w:val="8"/>
        <w:spacing w:line="560" w:lineRule="exact"/>
        <w:ind w:left="420" w:firstLine="640" w:firstLineChars="200"/>
        <w:rPr>
          <w:rFonts w:hint="eastAsia"/>
          <w:color w:val="auto"/>
          <w:lang w:val="zh-CN"/>
        </w:rPr>
      </w:pPr>
      <w:r>
        <w:rPr>
          <w:rFonts w:hint="eastAsia"/>
          <w:color w:val="auto"/>
          <w:lang w:val="zh-CN"/>
        </w:rPr>
        <w:t>附表：</w:t>
      </w:r>
      <w:r>
        <w:rPr>
          <w:rFonts w:hint="eastAsia"/>
          <w:color w:val="auto"/>
        </w:rPr>
        <w:t>部门预算项目支出绩效自评表（2023年度）</w:t>
      </w:r>
    </w:p>
    <w:p w14:paraId="09BCC436">
      <w:pPr>
        <w:spacing w:line="576" w:lineRule="exact"/>
        <w:ind w:firstLine="640" w:firstLineChars="200"/>
        <w:rPr>
          <w:rFonts w:hint="eastAsia" w:ascii="仿宋_GB2312" w:eastAsia="仿宋_GB2312" w:cs="仿宋_GB2312"/>
          <w:kern w:val="2"/>
          <w:sz w:val="32"/>
          <w:szCs w:val="32"/>
        </w:rPr>
      </w:pPr>
      <w:r>
        <w:rPr>
          <w:rFonts w:hint="eastAsia" w:ascii="仿宋_GB2312" w:eastAsia="仿宋_GB2312" w:cs="仿宋_GB2312"/>
          <w:kern w:val="2"/>
          <w:sz w:val="32"/>
          <w:szCs w:val="32"/>
        </w:rPr>
        <w:t>具体内容详见附表</w:t>
      </w:r>
    </w:p>
    <w:p w14:paraId="4883EA09">
      <w:pPr>
        <w:spacing w:line="576" w:lineRule="exact"/>
        <w:jc w:val="center"/>
        <w:rPr>
          <w:rFonts w:hint="eastAsia" w:ascii="仿宋_GB2312" w:eastAsia="仿宋_GB2312" w:cs="仿宋_GB2312"/>
          <w:kern w:val="2"/>
          <w:sz w:val="32"/>
          <w:szCs w:val="32"/>
        </w:rPr>
      </w:pPr>
    </w:p>
    <w:p w14:paraId="043319EF">
      <w:pPr>
        <w:pStyle w:val="8"/>
        <w:ind w:left="420"/>
      </w:pPr>
    </w:p>
    <w:p w14:paraId="18B7C701">
      <w:pPr>
        <w:rPr>
          <w:rFonts w:ascii="Times New Roman" w:hAnsi="Times New Roman" w:cs="Times New Roman"/>
          <w:kern w:val="2"/>
        </w:rPr>
      </w:pPr>
    </w:p>
    <w:p w14:paraId="0D615853">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广元市白龙湖风景名胜区管理局</w:t>
      </w:r>
    </w:p>
    <w:p w14:paraId="1829E56B">
      <w:pPr>
        <w:pStyle w:val="34"/>
        <w:spacing w:line="578" w:lineRule="exact"/>
        <w:jc w:val="center"/>
        <w:rPr>
          <w:rFonts w:hint="eastAsia" w:ascii="方正小标宋简体" w:eastAsia="方正小标宋简体" w:cs="方正小标宋简体"/>
          <w:color w:val="auto"/>
          <w:kern w:val="2"/>
          <w:sz w:val="44"/>
          <w:szCs w:val="44"/>
          <w:lang w:val="en-US"/>
        </w:rPr>
      </w:pPr>
      <w:r>
        <w:rPr>
          <w:rFonts w:hint="eastAsia" w:ascii="方正小标宋简体" w:eastAsia="方正小标宋简体" w:cs="方正小标宋简体"/>
          <w:color w:val="auto"/>
          <w:kern w:val="2"/>
          <w:sz w:val="44"/>
          <w:szCs w:val="44"/>
          <w:lang w:val="en-US"/>
        </w:rPr>
        <w:t>2023年市级专项资金预算项目支出绩效</w:t>
      </w:r>
    </w:p>
    <w:p w14:paraId="3F4630CD">
      <w:pPr>
        <w:pStyle w:val="34"/>
        <w:spacing w:line="578" w:lineRule="exact"/>
        <w:jc w:val="center"/>
        <w:rPr>
          <w:rFonts w:hint="eastAsia" w:ascii="方正小标宋简体" w:eastAsia="方正小标宋简体" w:cs="方正小标宋简体"/>
          <w:color w:val="auto"/>
          <w:kern w:val="2"/>
          <w:sz w:val="44"/>
          <w:szCs w:val="44"/>
          <w:lang w:val="en-US"/>
        </w:rPr>
      </w:pPr>
      <w:r>
        <w:rPr>
          <w:rFonts w:hint="eastAsia" w:ascii="方正小标宋简体" w:eastAsia="方正小标宋简体" w:cs="方正小标宋简体"/>
          <w:color w:val="auto"/>
          <w:kern w:val="2"/>
          <w:sz w:val="44"/>
          <w:szCs w:val="44"/>
          <w:lang w:val="en-US"/>
        </w:rPr>
        <w:t>自评报告</w:t>
      </w:r>
    </w:p>
    <w:p w14:paraId="4FC9BFAD">
      <w:pPr>
        <w:pStyle w:val="34"/>
        <w:spacing w:line="578" w:lineRule="exact"/>
        <w:ind w:firstLine="640"/>
        <w:jc w:val="center"/>
        <w:rPr>
          <w:rFonts w:hint="eastAsia" w:ascii="宋体"/>
          <w:color w:val="auto"/>
          <w:kern w:val="2"/>
          <w:sz w:val="32"/>
          <w:szCs w:val="32"/>
        </w:rPr>
      </w:pPr>
    </w:p>
    <w:p w14:paraId="7D5CBEE0">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一、项目概况</w:t>
      </w:r>
    </w:p>
    <w:p w14:paraId="354B1701">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设立背景及基本情况</w:t>
      </w:r>
    </w:p>
    <w:p w14:paraId="28E10F70">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《广元白龙湖风景名胜区总体规划》期限将于 2025 年届满。根据国务院《风景名胜区条例》第二十三条“风景名胜区总体规划的规划期届满前 2 年，规划的组织编制机关应当组织专家对规划进行评估，作出是否重新编制规划的决定。”规定，为进一步加强白龙湖保护利用工作，协调风景区与城乡建设、土地利用、旅游产业发展等方面关系，确保白龙湖风景区保护建设管理符合当前实际需要，我局拟于 2023 年组织专业机构对《白龙湖总体规划》进行评估，编制评估报告报省林草局审批后启动修编工作。</w:t>
      </w:r>
    </w:p>
    <w:p w14:paraId="6E3C9E9E">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（二）实施目的及支持方向</w:t>
      </w:r>
    </w:p>
    <w:p w14:paraId="5CBDD459">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《广元白龙湖风景名胜区总体规划》期限将于 2025 年届满。根据国务院《风景名胜区条例》第二十三条“风景名胜区总体规划的规划期届满前 2 年，规划的组织编制机关应当组织专家对规划进行评估，作出是否重新编制规划的决定。为做好白龙湖总体规划评估报告编制报批工作，我局咨询了北京中联环建文建筑设计有限公司、四川省林业勘察设计研究院有限公司、北京巅峰智业旅游文化创意股份有限公司等专业机构依据《城市规划设计计费指导意见》《四川省林业和草原调查规划设计项目收费指导价标准（试行）》对编制评估报告费用进行测算。我局将按照招投标有关要求采取政府采购方式选择专业机构开展白龙湖总体规划评估报告编制工作。</w:t>
      </w:r>
    </w:p>
    <w:p w14:paraId="1759CCED">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（三）预算安排及分配管理</w:t>
      </w:r>
    </w:p>
    <w:p w14:paraId="7FD9DA3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项目预算安排资金60万元，加上工作费用10万元（含省市专家评审费、现场调查及招标采购工作经费等），概算需经费（含工作费用）70 万元。</w:t>
      </w:r>
    </w:p>
    <w:p w14:paraId="0996CC76">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(四)项目绩效目标设置</w:t>
      </w:r>
    </w:p>
    <w:p w14:paraId="2E06CF73">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对白龙湖总体规划进行评估，做出是否重新编制规划的决定。对景区总体规划评估指导，设计编辑电子文本1套，纸质文本6套，并且通过省林草局审批，提升景区知名度，保护景区生态环境，保证景区资源可持续发展。</w:t>
      </w:r>
    </w:p>
    <w:p w14:paraId="6EAC62B5">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二、评价实施</w:t>
      </w:r>
    </w:p>
    <w:p w14:paraId="6F708FB2">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项目自评工作领导小组采用量化评分的方法，由科室自查、业务分管领导、财务负责人、财务分管领导依次进行审核，认真全面的进行绩效评价工作。同时建立健全财务管理制度和内控约束机制，依法、有效地使用财政资金，提高财政资金使用效率，合理分配人、财、物，完成部门职能目标，实现较高的工作效率和水平。</w:t>
      </w:r>
    </w:p>
    <w:p w14:paraId="6C3C38CD">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三、绩效分析</w:t>
      </w:r>
    </w:p>
    <w:p w14:paraId="12E8415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广元白龙湖风景名胜区总体规划到期，我局组织专业机构对《白龙湖总体规划》进行评估，编制评估报告报省林草局审批后启动修编工作。该项目2023年开始实施，共分三个阶段。第一阶段，合同签订后15个工作日内，采购方支付合同费用总金额的30%，即16.44万元； 第二阶段，提交成果报市林草局通过专家审查，审查会通过后15个工作日内支付合同总金额的30%，即16.44万；第三阶段，设计送审，成果通过林草局审查，审查批准后15个工作日内，支付合同剩余总金额40%，即21.92万元。项目实施单位财务管理制度健全，严格执行财务管理制度，账务处理及时，会计核算规范。项目管理情况，根据《财务管理制度》严格审核票据，降低工作成本。项目监管情况，明确了具体责任人，对工作开展情况进行严格监管，有效降低运行成本。项目完成情况，该项目正在分阶段实施中，项目总预算54.8万元，经费拨付方式阶段性拨付，现已拨付32.88万元。项目效益情况，经济效益：吸引了客商投资，加大了招商引资宣传力度。社会效益：促进了景区旅游发展。可持续效益：景区旅游资源可持续发展。服务对象满意度：投资客商满意度达到90%以上。</w:t>
      </w:r>
    </w:p>
    <w:p w14:paraId="622BF90A">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四、评价结论</w:t>
      </w:r>
    </w:p>
    <w:p w14:paraId="56201DC3">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通过项目实施，将有效加强白龙湖规划管控力度，为白龙湖辖区、旅游区、幸福三岛生态区等项目提供规划保障，确保项目准入审批合规，促进客商投资，促进景区旅游发展。</w:t>
      </w:r>
    </w:p>
    <w:p w14:paraId="6C272387">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五、存在的问题</w:t>
      </w:r>
    </w:p>
    <w:p w14:paraId="3F552B94">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预算执行进度较慢。且项目实施周期为2年，未能在本年内完成支付。</w:t>
      </w:r>
    </w:p>
    <w:p w14:paraId="320DF069">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六、相关建议</w:t>
      </w:r>
    </w:p>
    <w:p w14:paraId="77EB7F54">
      <w:pPr>
        <w:widowControl/>
        <w:spacing w:line="576" w:lineRule="exact"/>
        <w:ind w:firstLine="640"/>
        <w:contextualSpacing/>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在今后的预算执行过程中，将加强对资金申请、支付过程的督促，及时完成资金支付，加快预算执行进度，确保资金使用效率。</w:t>
      </w:r>
    </w:p>
    <w:p w14:paraId="1F9A7427">
      <w:pPr>
        <w:pStyle w:val="8"/>
        <w:suppressAutoHyphens w:val="0"/>
        <w:ind w:left="420" w:firstLine="640" w:firstLineChars="200"/>
      </w:pPr>
    </w:p>
    <w:p w14:paraId="74C41FBD"/>
    <w:p w14:paraId="159F43FC">
      <w:pPr>
        <w:suppressAutoHyphens/>
        <w:spacing w:line="576" w:lineRule="exact"/>
        <w:jc w:val="center"/>
        <w:rPr>
          <w:rFonts w:hint="eastAsia" w:ascii="仿宋_GB2312" w:eastAsia="仿宋_GB2312" w:cs="仿宋_GB2312"/>
          <w:kern w:val="2"/>
          <w:sz w:val="32"/>
          <w:szCs w:val="32"/>
        </w:rPr>
      </w:pPr>
    </w:p>
    <w:p w14:paraId="2CB21B0B">
      <w:pPr>
        <w:pStyle w:val="29"/>
        <w:suppressAutoHyphens/>
      </w:pPr>
    </w:p>
    <w:p w14:paraId="0DBEFEB2">
      <w:pPr>
        <w:pStyle w:val="29"/>
        <w:ind w:firstLine="0"/>
        <w:rPr>
          <w:rFonts w:hint="eastAsia" w:ascii="黑体" w:eastAsia="黑体"/>
          <w:sz w:val="44"/>
          <w:szCs w:val="44"/>
        </w:rPr>
      </w:pPr>
      <w:bookmarkStart w:id="78" w:name="_Toc15396618"/>
      <w:bookmarkEnd w:id="78"/>
    </w:p>
    <w:p w14:paraId="2120ED50">
      <w:pPr>
        <w:pStyle w:val="29"/>
        <w:rPr>
          <w:rFonts w:hint="eastAsia" w:ascii="黑体" w:eastAsia="黑体"/>
          <w:sz w:val="44"/>
          <w:szCs w:val="44"/>
        </w:rPr>
      </w:pPr>
    </w:p>
    <w:p w14:paraId="31E280AF">
      <w:pPr>
        <w:spacing w:line="560" w:lineRule="exact"/>
        <w:ind w:firstLine="880"/>
        <w:jc w:val="center"/>
        <w:outlineLvl w:val="0"/>
        <w:rPr>
          <w:rFonts w:hint="eastAsia" w:ascii="黑体" w:eastAsia="黑体" w:cs="Times New Roman"/>
          <w:kern w:val="2"/>
          <w:sz w:val="44"/>
          <w:szCs w:val="44"/>
        </w:rPr>
      </w:pPr>
      <w:r>
        <w:rPr>
          <w:rFonts w:hint="eastAsia" w:ascii="黑体" w:eastAsia="黑体" w:cs="Times New Roman"/>
          <w:kern w:val="2"/>
          <w:sz w:val="44"/>
          <w:szCs w:val="44"/>
        </w:rPr>
        <w:t>第五部分 附表</w:t>
      </w:r>
      <w:bookmarkStart w:id="79" w:name="_Toc15396619"/>
      <w:bookmarkEnd w:id="79"/>
    </w:p>
    <w:p w14:paraId="42D05D68">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收入支出决算总表</w:t>
      </w:r>
      <w:bookmarkStart w:id="80" w:name="_Toc15396620"/>
      <w:bookmarkEnd w:id="80"/>
    </w:p>
    <w:p w14:paraId="6148D28E">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收</w:t>
      </w:r>
      <w:r>
        <w:rPr>
          <w:rFonts w:hint="eastAsia" w:ascii="仿宋_GB2312" w:eastAsia="仿宋_GB2312" w:cs="仿宋_GB2312"/>
          <w:bCs/>
          <w:kern w:val="2"/>
          <w:sz w:val="32"/>
          <w:szCs w:val="32"/>
        </w:rPr>
        <w:t>入决算表</w:t>
      </w:r>
      <w:bookmarkStart w:id="81" w:name="_Toc15396621"/>
      <w:bookmarkEnd w:id="81"/>
    </w:p>
    <w:p w14:paraId="2F642783">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支</w:t>
      </w:r>
      <w:r>
        <w:rPr>
          <w:rFonts w:hint="eastAsia" w:ascii="仿宋_GB2312" w:eastAsia="仿宋_GB2312" w:cs="仿宋_GB2312"/>
          <w:bCs/>
          <w:kern w:val="2"/>
          <w:sz w:val="32"/>
          <w:szCs w:val="32"/>
        </w:rPr>
        <w:t>出决算表</w:t>
      </w:r>
      <w:bookmarkStart w:id="82" w:name="_Toc15396622"/>
      <w:bookmarkEnd w:id="82"/>
    </w:p>
    <w:p w14:paraId="2A85C13F">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财</w:t>
      </w:r>
      <w:r>
        <w:rPr>
          <w:rFonts w:hint="eastAsia" w:ascii="仿宋_GB2312" w:eastAsia="仿宋_GB2312" w:cs="仿宋_GB2312"/>
          <w:bCs/>
          <w:kern w:val="2"/>
          <w:sz w:val="32"/>
          <w:szCs w:val="32"/>
        </w:rPr>
        <w:t>政拨款收入支出决算总表</w:t>
      </w:r>
      <w:bookmarkStart w:id="83" w:name="_Toc15396623"/>
      <w:bookmarkEnd w:id="83"/>
    </w:p>
    <w:p w14:paraId="51663B7E">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财</w:t>
      </w:r>
      <w:r>
        <w:rPr>
          <w:rFonts w:hint="eastAsia" w:ascii="仿宋_GB2312" w:eastAsia="仿宋_GB2312" w:cs="仿宋_GB2312"/>
          <w:bCs/>
          <w:kern w:val="2"/>
          <w:sz w:val="32"/>
          <w:szCs w:val="32"/>
        </w:rPr>
        <w:t>政拨款支出决算明细表</w:t>
      </w:r>
      <w:bookmarkStart w:id="84" w:name="_Toc15396624"/>
      <w:bookmarkEnd w:id="84"/>
    </w:p>
    <w:p w14:paraId="48DBA134">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一</w:t>
      </w:r>
      <w:r>
        <w:rPr>
          <w:rFonts w:hint="eastAsia" w:ascii="仿宋_GB2312" w:eastAsia="仿宋_GB2312" w:cs="仿宋_GB2312"/>
          <w:bCs/>
          <w:kern w:val="2"/>
          <w:sz w:val="32"/>
          <w:szCs w:val="32"/>
        </w:rPr>
        <w:t>般公共预算财政拨款支出决算表</w:t>
      </w:r>
      <w:bookmarkStart w:id="85" w:name="_Toc15396625"/>
      <w:bookmarkEnd w:id="85"/>
    </w:p>
    <w:p w14:paraId="760463DA">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一</w:t>
      </w:r>
      <w:r>
        <w:rPr>
          <w:rFonts w:hint="eastAsia" w:ascii="仿宋_GB2312" w:eastAsia="仿宋_GB2312" w:cs="仿宋_GB2312"/>
          <w:bCs/>
          <w:kern w:val="2"/>
          <w:sz w:val="32"/>
          <w:szCs w:val="32"/>
        </w:rPr>
        <w:t>般公共预算财政拨款支出决算明细表</w:t>
      </w:r>
      <w:bookmarkStart w:id="86" w:name="_Toc15396626"/>
      <w:bookmarkEnd w:id="86"/>
    </w:p>
    <w:p w14:paraId="076530B8">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一</w:t>
      </w:r>
      <w:r>
        <w:rPr>
          <w:rFonts w:hint="eastAsia" w:ascii="仿宋_GB2312" w:eastAsia="仿宋_GB2312" w:cs="仿宋_GB2312"/>
          <w:bCs/>
          <w:kern w:val="2"/>
          <w:sz w:val="32"/>
          <w:szCs w:val="32"/>
        </w:rPr>
        <w:t>般公共预算财政拨款基本支出决算表</w:t>
      </w:r>
      <w:bookmarkStart w:id="87" w:name="_Toc15396627"/>
      <w:bookmarkEnd w:id="87"/>
    </w:p>
    <w:p w14:paraId="50FF7F95">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一</w:t>
      </w:r>
      <w:r>
        <w:rPr>
          <w:rFonts w:hint="eastAsia" w:ascii="仿宋_GB2312" w:eastAsia="仿宋_GB2312" w:cs="仿宋_GB2312"/>
          <w:bCs/>
          <w:kern w:val="2"/>
          <w:sz w:val="32"/>
          <w:szCs w:val="32"/>
        </w:rPr>
        <w:t>般公共预算财政拨款项目支出决算表</w:t>
      </w:r>
      <w:bookmarkStart w:id="88" w:name="_Toc15396628"/>
      <w:bookmarkEnd w:id="88"/>
    </w:p>
    <w:p w14:paraId="77627486">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政</w:t>
      </w:r>
      <w:r>
        <w:rPr>
          <w:rFonts w:hint="eastAsia" w:ascii="仿宋_GB2312" w:eastAsia="仿宋_GB2312" w:cs="仿宋_GB2312"/>
          <w:bCs/>
          <w:kern w:val="2"/>
          <w:sz w:val="32"/>
          <w:szCs w:val="32"/>
        </w:rPr>
        <w:t>府性基金预算财政拨款收入支出决算表</w:t>
      </w:r>
      <w:bookmarkStart w:id="89" w:name="_Toc15396629"/>
      <w:bookmarkEnd w:id="89"/>
    </w:p>
    <w:p w14:paraId="33D1CA2D">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kern w:val="2"/>
          <w:sz w:val="32"/>
          <w:szCs w:val="32"/>
        </w:rPr>
        <w:t>国</w:t>
      </w:r>
      <w:r>
        <w:rPr>
          <w:rFonts w:hint="eastAsia" w:ascii="仿宋_GB2312" w:eastAsia="仿宋_GB2312" w:cs="仿宋_GB2312"/>
          <w:bCs/>
          <w:kern w:val="2"/>
          <w:sz w:val="32"/>
          <w:szCs w:val="32"/>
        </w:rPr>
        <w:t>有资本经营预算财政拨款收入支出决算表</w:t>
      </w:r>
    </w:p>
    <w:p w14:paraId="2FC49EC0">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bCs/>
          <w:kern w:val="2"/>
          <w:sz w:val="32"/>
          <w:szCs w:val="32"/>
        </w:rPr>
        <w:t>国有资本经营预算财政拨款支出决算表</w:t>
      </w:r>
      <w:bookmarkStart w:id="90" w:name="_Toc15396631"/>
      <w:bookmarkEnd w:id="90"/>
    </w:p>
    <w:p w14:paraId="6A0A62DF">
      <w:pPr>
        <w:numPr>
          <w:ilvl w:val="0"/>
          <w:numId w:val="5"/>
        </w:numPr>
        <w:spacing w:line="560" w:lineRule="exact"/>
        <w:ind w:left="1280" w:hanging="640"/>
        <w:outlineLvl w:val="0"/>
        <w:rPr>
          <w:rFonts w:hint="eastAsia" w:ascii="仿宋_GB2312" w:eastAsia="仿宋_GB2312" w:cs="仿宋_GB2312"/>
          <w:kern w:val="2"/>
          <w:sz w:val="32"/>
          <w:szCs w:val="32"/>
        </w:rPr>
      </w:pPr>
      <w:r>
        <w:rPr>
          <w:rFonts w:hint="eastAsia" w:ascii="仿宋_GB2312" w:eastAsia="仿宋_GB2312" w:cs="仿宋_GB2312"/>
          <w:bCs/>
          <w:kern w:val="2"/>
          <w:sz w:val="32"/>
          <w:szCs w:val="32"/>
        </w:rPr>
        <w:t>财政拨款“三公”经费支出决算表</w:t>
      </w:r>
    </w:p>
    <w:p w14:paraId="6BB0F2A2">
      <w:pPr>
        <w:pStyle w:val="29"/>
        <w:rPr>
          <w:rFonts w:hint="eastAsia" w:ascii="仿宋_GB2312" w:eastAsia="仿宋_GB2312" w:cs="仿宋_GB2312"/>
          <w:szCs w:val="32"/>
        </w:rPr>
      </w:pPr>
    </w:p>
    <w:sectPr>
      <w:headerReference r:id="rId3" w:type="default"/>
      <w:footerReference r:id="rId4" w:type="default"/>
      <w:pgSz w:w="11906" w:h="16838"/>
      <w:pgMar w:top="2098" w:right="1474" w:bottom="1984" w:left="1587"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A00002BF" w:usb1="3ACF7CFA" w:usb2="0008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
    <w:altName w:val="Arial"/>
    <w:panose1 w:val="02020603050405020304"/>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A4C7">
    <w:pPr>
      <w:pStyle w:val="11"/>
      <w:jc w:val="center"/>
    </w:pPr>
    <w:r>
      <mc:AlternateContent>
        <mc:Choice Requires="wps">
          <w:drawing>
            <wp:anchor distT="0" distB="0" distL="114300" distR="114300" simplePos="0" relativeHeight="251659264" behindDoc="0" locked="0" layoutInCell="0" allowOverlap="1">
              <wp:simplePos x="0" y="0"/>
              <wp:positionH relativeFrom="margin">
                <wp:align>outside</wp:align>
              </wp:positionH>
              <wp:positionV relativeFrom="paragraph">
                <wp:posOffset>12230100</wp:posOffset>
              </wp:positionV>
              <wp:extent cx="711200" cy="230505"/>
              <wp:effectExtent l="0" t="0" r="0" b="0"/>
              <wp:wrapNone/>
              <wp:docPr id="1" name="文本框1"/>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wps:spPr>
                    <wps:txbx>
                      <w:txbxContent>
                        <w:p w14:paraId="70DDB7D4">
                          <w:pPr>
                            <w:pStyle w:val="11"/>
                            <w:jc w:val="cente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Arabic </w:instrText>
                          </w:r>
                          <w:r>
                            <w:rPr>
                              <w:rFonts w:hint="eastAsia" w:ascii="宋体" w:cs="宋体"/>
                              <w:sz w:val="28"/>
                              <w:szCs w:val="28"/>
                            </w:rPr>
                            <w:fldChar w:fldCharType="separate"/>
                          </w:r>
                          <w:r>
                            <w:rPr>
                              <w:rFonts w:ascii="宋体" w:cs="宋体"/>
                              <w:sz w:val="28"/>
                              <w:szCs w:val="28"/>
                              <w:lang/>
                            </w:rPr>
                            <w:t>15</w:t>
                          </w:r>
                          <w:r>
                            <w:rPr>
                              <w:rFonts w:hint="eastAsia" w:ascii="宋体" w:cs="宋体"/>
                              <w:sz w:val="28"/>
                              <w:szCs w:val="28"/>
                            </w:rPr>
                            <w:fldChar w:fldCharType="end"/>
                          </w:r>
                          <w:r>
                            <w:rPr>
                              <w:rFonts w:hint="eastAsia" w:ascii="宋体" w:cs="宋体"/>
                              <w:sz w:val="28"/>
                              <w:szCs w:val="28"/>
                            </w:rPr>
                            <w:t xml:space="preserve"> —</w:t>
                          </w:r>
                        </w:p>
                      </w:txbxContent>
                    </wps:txbx>
                    <wps:bodyPr wrap="square" lIns="0" tIns="0" rIns="0" bIns="0" upright="1">
                      <a:spAutoFit/>
                    </wps:bodyPr>
                  </wps:wsp>
                </a:graphicData>
              </a:graphic>
            </wp:anchor>
          </w:drawing>
        </mc:Choice>
        <mc:Fallback>
          <w:pict>
            <v:shape id="文本框1" o:spid="_x0000_s1026" o:spt="202" type="#_x0000_t202" style="position:absolute;left:0pt;margin-top:963pt;height:18.15pt;width:56pt;mso-position-horizontal:outside;mso-position-horizontal-relative:margin;z-index:251659264;mso-width-relative:page;mso-height-relative:page;" filled="f" stroked="f" coordsize="21600,21600" o:allowincell="f" o:gfxdata="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a+AzTAAAACgEAAA8AAAAAAAAAAQAgAAAAIgAAAGRycy9k&#10;b3ducmV2LnhtbFBLAQIUABQAAAAIAIdO4kBpb9hGzgEAAJgDAAAOAAAAAAAAAAEAIAAAACIBAABk&#10;cnMvZTJvRG9jLnhtbFBLBQYAAAAABgAGAFkBAABiBQAAAAA=&#10;">
              <v:fill on="f" focussize="0,0"/>
              <v:stroke on="f"/>
              <v:imagedata o:title=""/>
              <o:lock v:ext="edit" aspectratio="f"/>
              <v:textbox inset="0mm,0mm,0mm,0mm" style="mso-fit-shape-to-text:t;">
                <w:txbxContent>
                  <w:p w14:paraId="70DDB7D4">
                    <w:pPr>
                      <w:pStyle w:val="11"/>
                      <w:jc w:val="cente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Arabic </w:instrText>
                    </w:r>
                    <w:r>
                      <w:rPr>
                        <w:rFonts w:hint="eastAsia" w:ascii="宋体" w:cs="宋体"/>
                        <w:sz w:val="28"/>
                        <w:szCs w:val="28"/>
                      </w:rPr>
                      <w:fldChar w:fldCharType="separate"/>
                    </w:r>
                    <w:r>
                      <w:rPr>
                        <w:rFonts w:ascii="宋体" w:cs="宋体"/>
                        <w:sz w:val="28"/>
                        <w:szCs w:val="28"/>
                        <w:lang/>
                      </w:rPr>
                      <w:t>15</w:t>
                    </w:r>
                    <w:r>
                      <w:rPr>
                        <w:rFonts w:hint="eastAsia" w:ascii="宋体" w:cs="宋体"/>
                        <w:sz w:val="28"/>
                        <w:szCs w:val="28"/>
                      </w:rPr>
                      <w:fldChar w:fldCharType="end"/>
                    </w:r>
                    <w:r>
                      <w:rPr>
                        <w:rFonts w:hint="eastAsia" w:ascii="宋体" w:cs="宋体"/>
                        <w:sz w:val="28"/>
                        <w:szCs w:val="28"/>
                      </w:rPr>
                      <w:t xml:space="preserve"> —</w:t>
                    </w:r>
                  </w:p>
                </w:txbxContent>
              </v:textbox>
            </v:shape>
          </w:pict>
        </mc:Fallback>
      </mc:AlternateContent>
    </w:r>
    <w:r>
      <w:fldChar w:fldCharType="begin"/>
    </w:r>
    <w:r>
      <w:instrText xml:space="preserve"> PAGE \* Arabic </w:instrText>
    </w:r>
    <w:r>
      <w:fldChar w:fldCharType="separate"/>
    </w:r>
    <w:r>
      <w:rPr>
        <w:lang/>
      </w:rPr>
      <w:t>15</w:t>
    </w:r>
    <w:r>
      <w:fldChar w:fldCharType="end"/>
    </w:r>
  </w:p>
  <w:p w14:paraId="3D0D1BC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34F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8E309"/>
    <w:multiLevelType w:val="multilevel"/>
    <w:tmpl w:val="F4C8E309"/>
    <w:lvl w:ilvl="0" w:tentative="0">
      <w:start w:val="1"/>
      <w:numFmt w:val="decimal"/>
      <w:lvlText w:val="%1."/>
      <w:legacy w:legacy="1" w:legacySpace="0" w:legacyIndent="360"/>
      <w:lvlJc w:val="left"/>
      <w:pPr>
        <w:ind w:left="1000" w:hanging="3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65162F7F"/>
    <w:multiLevelType w:val="singleLevel"/>
    <w:tmpl w:val="65162F7F"/>
    <w:lvl w:ilvl="0" w:tentative="0">
      <w:start w:val="9"/>
      <w:numFmt w:val="chineseCounting"/>
      <w:suff w:val="nothing"/>
      <w:lvlText w:val="%1、"/>
      <w:lvlJc w:val="left"/>
      <w:pPr>
        <w:tabs>
          <w:tab w:val="left" w:pos="0"/>
        </w:tabs>
        <w:ind w:left="0" w:firstLine="0"/>
      </w:pPr>
    </w:lvl>
  </w:abstractNum>
  <w:abstractNum w:abstractNumId="2">
    <w:nsid w:val="65162F80"/>
    <w:multiLevelType w:val="singleLevel"/>
    <w:tmpl w:val="65162F80"/>
    <w:lvl w:ilvl="0" w:tentative="0">
      <w:start w:val="3"/>
      <w:numFmt w:val="chineseCounting"/>
      <w:suff w:val="space"/>
      <w:lvlText w:val="第%1部分"/>
      <w:lvlJc w:val="left"/>
      <w:pPr>
        <w:tabs>
          <w:tab w:val="left" w:pos="0"/>
        </w:tabs>
        <w:ind w:left="0" w:firstLine="0"/>
      </w:pPr>
    </w:lvl>
  </w:abstractNum>
  <w:abstractNum w:abstractNumId="3">
    <w:nsid w:val="65162F81"/>
    <w:multiLevelType w:val="multilevel"/>
    <w:tmpl w:val="65162F81"/>
    <w:lvl w:ilvl="0" w:tentative="0">
      <w:start w:val="1"/>
      <w:numFmt w:val="decimal"/>
      <w:lvlText w:val="%1、"/>
      <w:lvlJc w:val="left"/>
      <w:pPr>
        <w:tabs>
          <w:tab w:val="left" w:pos="0"/>
        </w:tabs>
        <w:ind w:left="640" w:firstLine="0"/>
      </w:pPr>
    </w:lvl>
    <w:lvl w:ilvl="1" w:tentative="0">
      <w:start w:val="1"/>
      <w:numFmt w:val="lowerLetter"/>
      <w:lvlText w:val="%2)"/>
      <w:lvlJc w:val="left"/>
      <w:pPr>
        <w:tabs>
          <w:tab w:val="left" w:pos="0"/>
        </w:tabs>
        <w:ind w:left="1060" w:firstLine="0"/>
      </w:pPr>
    </w:lvl>
    <w:lvl w:ilvl="2" w:tentative="0">
      <w:start w:val="1"/>
      <w:numFmt w:val="lowerRoman"/>
      <w:lvlText w:val="%3."/>
      <w:lvlJc w:val="left"/>
      <w:pPr>
        <w:tabs>
          <w:tab w:val="left" w:pos="0"/>
        </w:tabs>
        <w:ind w:left="1480" w:firstLine="0"/>
      </w:pPr>
    </w:lvl>
    <w:lvl w:ilvl="3" w:tentative="0">
      <w:start w:val="1"/>
      <w:numFmt w:val="decimal"/>
      <w:lvlText w:val="%4."/>
      <w:lvlJc w:val="left"/>
      <w:pPr>
        <w:tabs>
          <w:tab w:val="left" w:pos="0"/>
        </w:tabs>
        <w:ind w:left="1900" w:firstLine="0"/>
      </w:pPr>
    </w:lvl>
    <w:lvl w:ilvl="4" w:tentative="0">
      <w:start w:val="1"/>
      <w:numFmt w:val="lowerLetter"/>
      <w:lvlText w:val="%5)"/>
      <w:lvlJc w:val="left"/>
      <w:pPr>
        <w:tabs>
          <w:tab w:val="left" w:pos="0"/>
        </w:tabs>
        <w:ind w:left="2320" w:firstLine="0"/>
      </w:pPr>
    </w:lvl>
    <w:lvl w:ilvl="5" w:tentative="0">
      <w:start w:val="1"/>
      <w:numFmt w:val="lowerRoman"/>
      <w:lvlText w:val="%6."/>
      <w:lvlJc w:val="left"/>
      <w:pPr>
        <w:tabs>
          <w:tab w:val="left" w:pos="0"/>
        </w:tabs>
        <w:ind w:left="2740" w:firstLine="0"/>
      </w:pPr>
    </w:lvl>
    <w:lvl w:ilvl="6" w:tentative="0">
      <w:start w:val="1"/>
      <w:numFmt w:val="decimal"/>
      <w:lvlText w:val="%7."/>
      <w:lvlJc w:val="left"/>
      <w:pPr>
        <w:tabs>
          <w:tab w:val="left" w:pos="0"/>
        </w:tabs>
        <w:ind w:left="3160" w:firstLine="0"/>
      </w:pPr>
    </w:lvl>
    <w:lvl w:ilvl="7" w:tentative="0">
      <w:start w:val="1"/>
      <w:numFmt w:val="lowerLetter"/>
      <w:lvlText w:val="%8)"/>
      <w:lvlJc w:val="left"/>
      <w:pPr>
        <w:tabs>
          <w:tab w:val="left" w:pos="0"/>
        </w:tabs>
        <w:ind w:left="3580" w:firstLine="0"/>
      </w:pPr>
    </w:lvl>
    <w:lvl w:ilvl="8" w:tentative="0">
      <w:start w:val="1"/>
      <w:numFmt w:val="lowerRoman"/>
      <w:lvlText w:val="%9."/>
      <w:lvlJc w:val="left"/>
      <w:pPr>
        <w:tabs>
          <w:tab w:val="left" w:pos="0"/>
        </w:tabs>
        <w:ind w:left="4000" w:firstLine="0"/>
      </w:pPr>
    </w:lvl>
  </w:abstractNum>
  <w:abstractNum w:abstractNumId="4">
    <w:nsid w:val="65162F82"/>
    <w:multiLevelType w:val="multilevel"/>
    <w:tmpl w:val="65162F82"/>
    <w:lvl w:ilvl="0" w:tentative="0">
      <w:start w:val="1"/>
      <w:numFmt w:val="japaneseCounting"/>
      <w:lvlText w:val="%1、"/>
      <w:lvlJc w:val="left"/>
      <w:pPr>
        <w:tabs>
          <w:tab w:val="left" w:pos="0"/>
        </w:tabs>
        <w:ind w:left="640" w:firstLine="0"/>
      </w:pPr>
      <w:rPr>
        <w:b w:val="0"/>
      </w:rPr>
    </w:lvl>
    <w:lvl w:ilvl="1" w:tentative="0">
      <w:start w:val="1"/>
      <w:numFmt w:val="lowerLetter"/>
      <w:lvlText w:val="%2)"/>
      <w:lvlJc w:val="left"/>
      <w:pPr>
        <w:tabs>
          <w:tab w:val="left" w:pos="0"/>
        </w:tabs>
        <w:ind w:left="1060" w:firstLine="0"/>
      </w:pPr>
    </w:lvl>
    <w:lvl w:ilvl="2" w:tentative="0">
      <w:start w:val="1"/>
      <w:numFmt w:val="lowerRoman"/>
      <w:lvlText w:val="%3."/>
      <w:lvlJc w:val="left"/>
      <w:pPr>
        <w:tabs>
          <w:tab w:val="left" w:pos="0"/>
        </w:tabs>
        <w:ind w:left="1480" w:firstLine="0"/>
      </w:pPr>
    </w:lvl>
    <w:lvl w:ilvl="3" w:tentative="0">
      <w:start w:val="1"/>
      <w:numFmt w:val="decimal"/>
      <w:lvlText w:val="%4."/>
      <w:lvlJc w:val="left"/>
      <w:pPr>
        <w:tabs>
          <w:tab w:val="left" w:pos="0"/>
        </w:tabs>
        <w:ind w:left="1900" w:firstLine="0"/>
      </w:pPr>
    </w:lvl>
    <w:lvl w:ilvl="4" w:tentative="0">
      <w:start w:val="1"/>
      <w:numFmt w:val="lowerLetter"/>
      <w:lvlText w:val="%5)"/>
      <w:lvlJc w:val="left"/>
      <w:pPr>
        <w:tabs>
          <w:tab w:val="left" w:pos="0"/>
        </w:tabs>
        <w:ind w:left="2320" w:firstLine="0"/>
      </w:pPr>
    </w:lvl>
    <w:lvl w:ilvl="5" w:tentative="0">
      <w:start w:val="1"/>
      <w:numFmt w:val="lowerRoman"/>
      <w:lvlText w:val="%6."/>
      <w:lvlJc w:val="left"/>
      <w:pPr>
        <w:tabs>
          <w:tab w:val="left" w:pos="0"/>
        </w:tabs>
        <w:ind w:left="2740" w:firstLine="0"/>
      </w:pPr>
    </w:lvl>
    <w:lvl w:ilvl="6" w:tentative="0">
      <w:start w:val="1"/>
      <w:numFmt w:val="decimal"/>
      <w:lvlText w:val="%7."/>
      <w:lvlJc w:val="left"/>
      <w:pPr>
        <w:tabs>
          <w:tab w:val="left" w:pos="0"/>
        </w:tabs>
        <w:ind w:left="3160" w:firstLine="0"/>
      </w:pPr>
    </w:lvl>
    <w:lvl w:ilvl="7" w:tentative="0">
      <w:start w:val="1"/>
      <w:numFmt w:val="lowerLetter"/>
      <w:lvlText w:val="%8)"/>
      <w:lvlJc w:val="left"/>
      <w:pPr>
        <w:tabs>
          <w:tab w:val="left" w:pos="0"/>
        </w:tabs>
        <w:ind w:left="3580" w:firstLine="0"/>
      </w:pPr>
    </w:lvl>
    <w:lvl w:ilvl="8" w:tentative="0">
      <w:start w:val="1"/>
      <w:numFmt w:val="lowerRoman"/>
      <w:lvlText w:val="%9."/>
      <w:lvlJc w:val="left"/>
      <w:pPr>
        <w:tabs>
          <w:tab w:val="left" w:pos="0"/>
        </w:tabs>
        <w:ind w:left="400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ODRjYzlkNjczNWI2YTEwZDU5ZDQ5MDc2MjIyMjAifQ=="/>
  </w:docVars>
  <w:rsids>
    <w:rsidRoot w:val="00A3060F"/>
    <w:rsid w:val="007C62C6"/>
    <w:rsid w:val="00A3060F"/>
    <w:rsid w:val="00C01EE2"/>
    <w:rsid w:val="05EB5D9F"/>
    <w:rsid w:val="0E406DE5"/>
    <w:rsid w:val="15BE0AA2"/>
    <w:rsid w:val="15CE5504"/>
    <w:rsid w:val="251E63A0"/>
    <w:rsid w:val="32E364A3"/>
    <w:rsid w:val="38BE422D"/>
    <w:rsid w:val="416B1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兰亭黑_GBK" w:hAnsi="方正兰亭黑_GBK" w:cs="方正兰亭黑_GBK"/>
      <w:color w:val="000000"/>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sz w:val="44"/>
      <w:szCs w:val="44"/>
    </w:rPr>
  </w:style>
  <w:style w:type="paragraph" w:styleId="4">
    <w:name w:val="heading 2"/>
    <w:basedOn w:val="1"/>
    <w:next w:val="1"/>
    <w:qFormat/>
    <w:uiPriority w:val="0"/>
    <w:pPr>
      <w:keepNext/>
      <w:keepLines/>
      <w:widowControl w:val="0"/>
      <w:spacing w:before="260" w:after="260" w:line="412" w:lineRule="auto"/>
      <w:outlineLvl w:val="1"/>
    </w:pPr>
    <w:rPr>
      <w:rFonts w:ascii="Cambria" w:hAnsi="Cambria"/>
      <w:b/>
      <w:sz w:val="32"/>
      <w:szCs w:val="32"/>
    </w:rPr>
  </w:style>
  <w:style w:type="paragraph" w:styleId="5">
    <w:name w:val="heading 3"/>
    <w:basedOn w:val="1"/>
    <w:next w:val="1"/>
    <w:qFormat/>
    <w:uiPriority w:val="0"/>
    <w:pPr>
      <w:keepNext/>
      <w:keepLines/>
      <w:widowControl w:val="0"/>
      <w:spacing w:before="260" w:after="260" w:line="412" w:lineRule="auto"/>
      <w:outlineLvl w:val="2"/>
    </w:pPr>
    <w:rPr>
      <w:b/>
      <w:sz w:val="32"/>
      <w:szCs w:val="32"/>
    </w:rPr>
  </w:style>
  <w:style w:type="character" w:default="1" w:styleId="17">
    <w:name w:val="Default Paragraph Font"/>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Body Text"/>
    <w:basedOn w:val="1"/>
    <w:uiPriority w:val="0"/>
    <w:pPr>
      <w:spacing w:before="30"/>
    </w:pPr>
    <w:rPr>
      <w:rFonts w:ascii="仿宋_GB2312" w:eastAsia="仿宋_GB2312" w:cs="Times New Roman"/>
      <w:sz w:val="30"/>
      <w:lang w:bidi="ar-SA"/>
    </w:rPr>
  </w:style>
  <w:style w:type="paragraph" w:styleId="6">
    <w:name w:val="annotation text"/>
    <w:basedOn w:val="1"/>
    <w:uiPriority w:val="0"/>
    <w:pPr>
      <w:jc w:val="left"/>
    </w:pPr>
  </w:style>
  <w:style w:type="paragraph" w:styleId="7">
    <w:name w:val="Body Text Indent"/>
    <w:basedOn w:val="1"/>
    <w:next w:val="8"/>
    <w:uiPriority w:val="0"/>
    <w:pPr>
      <w:spacing w:after="120"/>
      <w:ind w:left="200" w:leftChars="200"/>
    </w:pPr>
    <w:rPr>
      <w:rFonts w:ascii="仿宋_GB2312" w:hAnsi="仿宋_GB2312"/>
      <w:szCs w:val="32"/>
    </w:rPr>
  </w:style>
  <w:style w:type="paragraph" w:styleId="8">
    <w:name w:val="Body Text First Indent 2"/>
    <w:basedOn w:val="7"/>
    <w:next w:val="1"/>
    <w:uiPriority w:val="0"/>
    <w:pPr>
      <w:widowControl w:val="0"/>
      <w:suppressAutoHyphens/>
      <w:spacing w:after="120"/>
      <w:ind w:firstLine="200"/>
    </w:pPr>
    <w:rPr>
      <w:rFonts w:ascii="Times New Roman" w:hAnsi="Times New Roman" w:eastAsia="仿宋_GB2312" w:cs="Times New Roman"/>
      <w:kern w:val="2"/>
      <w:sz w:val="32"/>
      <w:szCs w:val="32"/>
      <w:lang w:bidi="ar-SA"/>
    </w:rPr>
  </w:style>
  <w:style w:type="paragraph" w:styleId="9">
    <w:name w:val="toc 3"/>
    <w:basedOn w:val="1"/>
    <w:next w:val="1"/>
    <w:uiPriority w:val="0"/>
    <w:pPr>
      <w:tabs>
        <w:tab w:val="right" w:leader="dot" w:pos="8296"/>
      </w:tabs>
      <w:ind w:left="400"/>
    </w:pPr>
    <w:rPr>
      <w:rFonts w:ascii="Times New Roman" w:hAnsi="Times New Roman" w:cs="Times New Roman"/>
      <w:kern w:val="2"/>
      <w:lang w:bidi="ar-SA"/>
    </w:rPr>
  </w:style>
  <w:style w:type="paragraph" w:styleId="10">
    <w:name w:val="Balloon Text"/>
    <w:basedOn w:val="1"/>
    <w:uiPriority w:val="0"/>
    <w:rPr>
      <w:rFonts w:ascii="Times New Roman" w:hAnsi="Times New Roman" w:cs="Times New Roman"/>
      <w:kern w:val="2"/>
      <w:sz w:val="18"/>
      <w:szCs w:val="18"/>
      <w:lang w:bidi="ar-SA"/>
    </w:rPr>
  </w:style>
  <w:style w:type="paragraph" w:styleId="11">
    <w:name w:val="footer"/>
    <w:basedOn w:val="1"/>
    <w:uiPriority w:val="0"/>
    <w:pPr>
      <w:tabs>
        <w:tab w:val="center" w:pos="4153"/>
        <w:tab w:val="right" w:pos="8306"/>
      </w:tabs>
      <w:jc w:val="left"/>
    </w:pPr>
    <w:rPr>
      <w:rFonts w:ascii="Calibri" w:hAnsi="Calibri" w:cs="Calibri"/>
      <w:sz w:val="18"/>
      <w:szCs w:val="18"/>
      <w:lang w:bidi="ar-SA"/>
    </w:rPr>
  </w:style>
  <w:style w:type="paragraph" w:styleId="12">
    <w:name w:val="header"/>
    <w:basedOn w:val="1"/>
    <w:uiPriority w:val="0"/>
    <w:pPr>
      <w:pBdr>
        <w:bottom w:val="single" w:color="000000" w:sz="6" w:space="1"/>
      </w:pBdr>
      <w:tabs>
        <w:tab w:val="center" w:pos="4153"/>
        <w:tab w:val="right" w:pos="8306"/>
      </w:tabs>
      <w:jc w:val="center"/>
    </w:pPr>
    <w:rPr>
      <w:rFonts w:ascii="Calibri" w:hAnsi="Calibri" w:cs="Calibri"/>
      <w:sz w:val="18"/>
      <w:szCs w:val="18"/>
      <w:lang w:bidi="ar-SA"/>
    </w:rPr>
  </w:style>
  <w:style w:type="paragraph" w:styleId="13">
    <w:name w:val="toc 1"/>
    <w:basedOn w:val="1"/>
    <w:next w:val="1"/>
    <w:uiPriority w:val="0"/>
    <w:pPr>
      <w:tabs>
        <w:tab w:val="right" w:leader="dot" w:pos="8296"/>
      </w:tabs>
      <w:spacing w:before="93"/>
      <w:jc w:val="center"/>
    </w:pPr>
    <w:rPr>
      <w:rFonts w:ascii="仿宋" w:eastAsia="仿宋" w:cs="Times New Roman"/>
      <w:kern w:val="2"/>
      <w:sz w:val="28"/>
      <w:szCs w:val="28"/>
      <w:lang w:bidi="ar-SA"/>
    </w:rPr>
  </w:style>
  <w:style w:type="paragraph" w:styleId="14">
    <w:name w:val="toc 2"/>
    <w:basedOn w:val="1"/>
    <w:next w:val="1"/>
    <w:uiPriority w:val="0"/>
    <w:pPr>
      <w:tabs>
        <w:tab w:val="right" w:leader="dot" w:pos="8296"/>
      </w:tabs>
      <w:ind w:left="200"/>
    </w:pPr>
    <w:rPr>
      <w:rFonts w:ascii="Times New Roman" w:hAnsi="Times New Roman" w:cs="Times New Roman"/>
      <w:kern w:val="2"/>
      <w:lang w:bidi="ar-SA"/>
    </w:rPr>
  </w:style>
  <w:style w:type="paragraph" w:styleId="15">
    <w:name w:val="annotation subject"/>
    <w:basedOn w:val="6"/>
    <w:next w:val="6"/>
    <w:uiPriority w:val="0"/>
    <w:rPr>
      <w:b/>
    </w:rPr>
  </w:style>
  <w:style w:type="character" w:styleId="18">
    <w:name w:val="Strong"/>
    <w:basedOn w:val="17"/>
    <w:qFormat/>
    <w:uiPriority w:val="0"/>
    <w:rPr>
      <w:b/>
    </w:rPr>
  </w:style>
  <w:style w:type="character" w:styleId="19">
    <w:name w:val="FollowedHyperlink"/>
    <w:basedOn w:val="17"/>
    <w:uiPriority w:val="0"/>
    <w:rPr>
      <w:color w:val="7F007F"/>
      <w:u w:val="single"/>
    </w:rPr>
  </w:style>
  <w:style w:type="character" w:styleId="20">
    <w:name w:val="Hyperlink"/>
    <w:basedOn w:val="17"/>
    <w:uiPriority w:val="0"/>
    <w:rPr>
      <w:color w:val="0000FF"/>
      <w:u w:val="single"/>
    </w:rPr>
  </w:style>
  <w:style w:type="character" w:customStyle="1" w:styleId="21">
    <w:name w:val="Header Char"/>
    <w:basedOn w:val="17"/>
    <w:uiPriority w:val="0"/>
    <w:rPr>
      <w:rFonts w:ascii="Times New Roman" w:hAnsi="Times New Roman"/>
      <w:sz w:val="18"/>
      <w:szCs w:val="18"/>
    </w:rPr>
  </w:style>
  <w:style w:type="character" w:customStyle="1" w:styleId="22">
    <w:name w:val="Footer Char"/>
    <w:basedOn w:val="17"/>
    <w:uiPriority w:val="0"/>
    <w:rPr>
      <w:rFonts w:ascii="Times New Roman" w:hAnsi="Times New Roman"/>
      <w:sz w:val="18"/>
      <w:szCs w:val="18"/>
    </w:rPr>
  </w:style>
  <w:style w:type="character" w:customStyle="1" w:styleId="23">
    <w:name w:val="Body Text Char"/>
    <w:basedOn w:val="17"/>
    <w:uiPriority w:val="0"/>
    <w:rPr>
      <w:rFonts w:ascii="Times New Roman" w:hAnsi="Times New Roman"/>
      <w:szCs w:val="24"/>
    </w:rPr>
  </w:style>
  <w:style w:type="character" w:customStyle="1" w:styleId="24">
    <w:name w:val="NormalCharacter"/>
    <w:basedOn w:val="17"/>
    <w:uiPriority w:val="0"/>
  </w:style>
  <w:style w:type="character" w:customStyle="1" w:styleId="25">
    <w:name w:val="标题 1 Char"/>
    <w:basedOn w:val="17"/>
    <w:uiPriority w:val="0"/>
    <w:rPr>
      <w:rFonts w:ascii="Times New Roman" w:hAnsi="Times New Roman" w:eastAsia="宋体" w:cs="Times New Roman"/>
      <w:b/>
      <w:kern w:val="2"/>
      <w:sz w:val="44"/>
      <w:szCs w:val="44"/>
      <w:lang w:bidi="ar-SA"/>
    </w:rPr>
  </w:style>
  <w:style w:type="character" w:customStyle="1" w:styleId="26">
    <w:name w:val="标题 2 Char"/>
    <w:basedOn w:val="17"/>
    <w:uiPriority w:val="0"/>
    <w:rPr>
      <w:rFonts w:ascii="Cambria" w:hAnsi="Cambria" w:eastAsia="宋体" w:cs="Times New Roman"/>
      <w:b/>
      <w:kern w:val="2"/>
      <w:sz w:val="32"/>
      <w:szCs w:val="32"/>
      <w:lang w:bidi="ar-SA"/>
    </w:rPr>
  </w:style>
  <w:style w:type="paragraph" w:styleId="27">
    <w:name w:val="List Paragraph"/>
    <w:basedOn w:val="1"/>
    <w:qFormat/>
    <w:uiPriority w:val="0"/>
    <w:pPr>
      <w:ind w:firstLine="200"/>
    </w:pPr>
    <w:rPr>
      <w:rFonts w:ascii="Times New Roman" w:hAnsi="Times New Roman" w:cs="Times New Roman"/>
      <w:kern w:val="2"/>
      <w:lang w:bidi="ar-SA"/>
    </w:rPr>
  </w:style>
  <w:style w:type="paragraph" w:customStyle="1" w:styleId="28">
    <w:name w:val="Default"/>
    <w:uiPriority w:val="0"/>
    <w:pPr>
      <w:widowControl w:val="0"/>
    </w:pPr>
    <w:rPr>
      <w:rFonts w:ascii="仿宋" w:eastAsia="仿宋" w:cs="仿宋"/>
      <w:color w:val="000000"/>
      <w:sz w:val="24"/>
      <w:szCs w:val="24"/>
      <w:lang w:val="en-US" w:eastAsia="zh-CN" w:bidi="ar-SA"/>
    </w:rPr>
  </w:style>
  <w:style w:type="paragraph" w:customStyle="1" w:styleId="29">
    <w:name w:val="常用样式（方正仿宋简）"/>
    <w:basedOn w:val="1"/>
    <w:uiPriority w:val="0"/>
    <w:pPr>
      <w:spacing w:line="560" w:lineRule="exact"/>
      <w:ind w:firstLine="200"/>
    </w:pPr>
    <w:rPr>
      <w:rFonts w:ascii="Times New Roman" w:hAnsi="Times New Roman" w:eastAsia="方正仿宋简体" w:cs="Times New Roman"/>
      <w:kern w:val="2"/>
      <w:sz w:val="32"/>
      <w:lang w:bidi="ar-SA"/>
    </w:rPr>
  </w:style>
  <w:style w:type="paragraph" w:customStyle="1" w:styleId="30">
    <w:name w:val="TOC 标题1"/>
    <w:basedOn w:val="3"/>
    <w:next w:val="1"/>
    <w:uiPriority w:val="0"/>
    <w:pPr>
      <w:keepNext/>
      <w:keepLines/>
      <w:widowControl/>
      <w:spacing w:before="480" w:after="0" w:line="276" w:lineRule="auto"/>
      <w:jc w:val="left"/>
      <w:outlineLvl w:val="9"/>
    </w:pPr>
    <w:rPr>
      <w:rFonts w:ascii="Cambria" w:hAnsi="Cambria" w:cs="Times New Roman"/>
      <w:sz w:val="28"/>
      <w:szCs w:val="28"/>
      <w:lang w:bidi="ar-SA"/>
    </w:rPr>
  </w:style>
  <w:style w:type="paragraph" w:styleId="31">
    <w:name w:val=""/>
    <w:basedOn w:val="3"/>
    <w:next w:val="1"/>
    <w:qFormat/>
    <w:uiPriority w:val="0"/>
    <w:pPr>
      <w:keepNext/>
      <w:keepLines/>
      <w:widowControl/>
      <w:spacing w:before="480" w:after="0" w:line="276" w:lineRule="auto"/>
      <w:jc w:val="left"/>
      <w:outlineLvl w:val="9"/>
    </w:pPr>
    <w:rPr>
      <w:rFonts w:ascii="Cambria" w:hAnsi="Cambria" w:cs="Times New Roman"/>
      <w:sz w:val="28"/>
      <w:szCs w:val="28"/>
      <w:lang w:bidi="ar-SA"/>
    </w:rPr>
  </w:style>
  <w:style w:type="paragraph" w:customStyle="1" w:styleId="32">
    <w:name w:val="WPSOffice手动目录 1"/>
    <w:uiPriority w:val="0"/>
    <w:rPr>
      <w:color w:val="000000"/>
      <w:lang w:val="en-US" w:eastAsia="zh-CN" w:bidi="ar-SA"/>
    </w:rPr>
  </w:style>
  <w:style w:type="paragraph" w:customStyle="1" w:styleId="33">
    <w:name w:val="WPSOffice手动目录 2"/>
    <w:uiPriority w:val="0"/>
    <w:pPr>
      <w:ind w:left="200"/>
    </w:pPr>
    <w:rPr>
      <w:color w:val="000000"/>
      <w:lang w:val="en-US" w:eastAsia="zh-CN" w:bidi="ar-SA"/>
    </w:rPr>
  </w:style>
  <w:style w:type="paragraph" w:customStyle="1" w:styleId="34">
    <w:name w:val="四号正文"/>
    <w:basedOn w:val="1"/>
    <w:uiPriority w:val="0"/>
    <w:pPr>
      <w:widowControl w:val="0"/>
      <w:suppressAutoHyphens/>
      <w:spacing w:line="360" w:lineRule="auto"/>
    </w:pPr>
    <w:rPr>
      <w:rFonts w:ascii="??" w:hAnsi="??" w:cs="Times New Roman"/>
      <w:sz w:val="28"/>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9061</Words>
  <Characters>9764</Characters>
  <Lines>73</Lines>
  <Paragraphs>20</Paragraphs>
  <TotalTime>0</TotalTime>
  <ScaleCrop>false</ScaleCrop>
  <LinksUpToDate>false</LinksUpToDate>
  <CharactersWithSpaces>9826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2024-09-30T08:05:00Z</dcterms:created>
  <dc:creator>曹颖</dc:creator>
  <cp:lastModifiedBy>孙文洪</cp:lastModifiedBy>
  <cp:lastPrinted>2024-09-12T02:40:00Z</cp:lastPrinted>
  <dcterms:modified xsi:type="dcterms:W3CDTF">2024-09-30T08:09:33Z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033823688E89460CB4CD3A7FFE5ED30E_13</vt:lpwstr>
  </property>
</Properties>
</file>